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Phytophthora sojae (Phytophthora megasperma f. sp. glycinea) (PHYTMS)</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(2014); France (1992); Italy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76069b01789f2485" w:history="1">
        <w:r>
          <w:rPr>
            <w:color w:val="0200C9"/>
            <w:sz w:val="24"/>
            <w:szCs w:val="24"/>
          </w:rPr>
          <w:t xml:space="preserve">https://gd.eppo.int/</w:t>
        </w:r>
      </w:hyperlink>
      <w:r>
        <w:rPr>
          <w:color w:val="0200C9"/>
          <w:sz w:val="24"/>
          <w:szCs w:val="24"/>
        </w:rPr>
        <w:t xml:space="preserve">). Experts considered that this pest is present worldwide, wherever soybean is grown, with the exception (?) of Hungary, Slovenia and Swizerland where it was present in the past.</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pathogen causes a root rot in soyabean. Phytophthora megasperma f. sp. glycinea is asociated with soil residues (Zecchinelli &amp; Gaudenzi 2002). Directive 92/9/EEC (now 2002/57) requires that inert material should not exceed 0.3% of the total weight of a seed sample. All parts of the soybean plant are susceptible to infection by P. sojae, from germinating seedlings to mature plants. In the field, P. sojae causes damping off of soybean seedlings and a root and stem rot of established plants. Leaves can be infected in the field as a result of rain splash etc. Several species of lupins have also been reported as hosts (Tyler, 2007).</w:t>
      </w:r>
      <w:r>
        <w:rPr>
          <w:color w:val="0200C9"/>
          <w:sz w:val="24"/>
          <w:szCs w:val="24"/>
        </w:rPr>
        <w:br/>
        <w:t xml:space="preserve">In conclusion there are many references to the efficacy of seed treatments, natural infestation of soil and treatment of soils and soil conditions but no references of the pathogen definitely being naturally seed-borne, could be found, except one. This paper describes P. sojae as transmitted by seeds following artificial inoculation of soyabean seeds in the laboratory (ZhaoHui &amp; Jin, 1997). Experts agreed that there are uncertainties concerning the significance of the seed transmission, and decided to continue the evaluation of the RNQP status.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Australia, in a trial, one variety with high field resistance, did not suffer losses in 2 years, whereas the yield depression of less resistant genotypes ranged up to 72%, depending on the genotype and year. Yields varied by year, depending on when mortality occurred in the season. Genotypes with immunity have been widely grown in the United States because they offer complete protection against some races, although new pathogenic races have developed quickly, and previously immune genotypes have then suffered severe yield losses (Ryley et al., 1989). It is the third most important cause of yield loss in soyabean by disease in USA (Wrather et al., 2001), and has an annual cost worldwide of $1-2 billion (Tyler 2007).</w:t>
      </w:r>
      <w:r>
        <w:rPr>
          <w:color w:val="F30000"/>
          <w:sz w:val="24"/>
          <w:szCs w:val="24"/>
        </w:rPr>
        <w:br/>
        <w:t xml:space="preserve">However the SEWG concluded that the pest should not qualify for RNQP status as no evidence of significant economic impact in Europe are available (less damage in Europe because less intensive cultivation of this crop?). This pest will be covered in the future by the general ‘lowest possible level’ requirement.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has been a major problem in the USA. Less damage has been observed in the EU probably because of the less intensive cultivation of this crop. The economic impact is considered acceptable in the EU.</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There are no evidence of significant economic impact in the EU. This pest/host combination will be covered by the 'lowest possible level' general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Ryley MJ, Mosetter HF &amp; Rose JL (1989) Yield losses of soybeans due to Phytophthora megasperma f.sp. glycinea Australian Journal of Agricultural Research 40(6) · DOI: 10.1071/AR9891161;</w:t>
      </w:r>
    </w:p>
    <w:p>
      <w:pPr>
        <w:numPr>
          <w:ilvl w:val="0"/>
          <w:numId w:val="1"/>
        </w:numPr>
        <w:spacing w:before="0" w:after="0" w:line="240" w:lineRule="auto"/>
        <w:jc w:val="left"/>
        <w:rPr>
          <w:color w:val="0200C9"/>
          <w:sz w:val="24"/>
          <w:szCs w:val="24"/>
        </w:rPr>
      </w:pPr>
      <w:r>
        <w:rPr>
          <w:color w:val="0200C9"/>
          <w:sz w:val="24"/>
          <w:szCs w:val="24"/>
        </w:rPr>
        <w:t xml:space="preserve">Tyler BM (2007) Phytophthora sojae: root rot pathogen of soybean and model oomycete. Molecular Plant Pathology 8 No.1, 1-8;</w:t>
      </w:r>
    </w:p>
    <w:p>
      <w:pPr>
        <w:numPr>
          <w:ilvl w:val="0"/>
          <w:numId w:val="1"/>
        </w:numPr>
        <w:spacing w:before="0" w:after="0" w:line="240" w:lineRule="auto"/>
        <w:jc w:val="left"/>
        <w:rPr>
          <w:color w:val="0200C9"/>
          <w:sz w:val="24"/>
          <w:szCs w:val="24"/>
        </w:rPr>
      </w:pPr>
      <w:r>
        <w:rPr>
          <w:color w:val="0200C9"/>
          <w:sz w:val="24"/>
          <w:szCs w:val="24"/>
        </w:rPr>
        <w:t xml:space="preserve">Wrather J, Anderson T, Arsyad D, Gai J, Ploper L, Porta-Puglia A, Ram H &amp; Yorinori J (1997) Soybean disease loss estimates for the top 10 soybean producing countries in 1994. Plant Dis. 81:107-110;</w:t>
      </w:r>
    </w:p>
    <w:p>
      <w:pPr>
        <w:numPr>
          <w:ilvl w:val="0"/>
          <w:numId w:val="1"/>
        </w:numPr>
        <w:spacing w:before="0" w:after="0" w:line="240" w:lineRule="auto"/>
        <w:jc w:val="left"/>
        <w:rPr>
          <w:color w:val="0200C9"/>
          <w:sz w:val="24"/>
          <w:szCs w:val="24"/>
        </w:rPr>
      </w:pPr>
      <w:r>
        <w:rPr>
          <w:color w:val="0200C9"/>
          <w:sz w:val="24"/>
          <w:szCs w:val="24"/>
        </w:rPr>
        <w:t xml:space="preserve">Zecchinelli R &amp; Gaudenzi S (2002) Plant health requirements envisaged by the quality norms for seeds of soyabeans. Sementi Elette 48 No.3, 31-33;</w:t>
      </w:r>
    </w:p>
    <w:p>
      <w:pPr>
        <w:numPr>
          <w:ilvl w:val="0"/>
          <w:numId w:val="1"/>
        </w:numPr>
        <w:spacing w:before="0" w:after="0" w:line="240" w:lineRule="auto"/>
        <w:jc w:val="left"/>
        <w:rPr>
          <w:color w:val="0200C9"/>
          <w:sz w:val="24"/>
          <w:szCs w:val="24"/>
        </w:rPr>
      </w:pPr>
      <w:r>
        <w:rPr>
          <w:color w:val="0200C9"/>
          <w:sz w:val="24"/>
          <w:szCs w:val="24"/>
        </w:rPr>
        <w:t xml:space="preserve">Zhou ZhaoHui; Yan Jin (1997) A seed testing method for soyabeans. Entry &amp; Exit Animal &amp; Plant Quarantine of China No.2, 30-31;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966949">
    <w:multiLevelType w:val="hybridMultilevel"/>
    <w:lvl w:ilvl="0" w:tplc="68318437">
      <w:start w:val="1"/>
      <w:numFmt w:val="decimal"/>
      <w:lvlText w:val="%1."/>
      <w:lvlJc w:val="left"/>
      <w:pPr>
        <w:ind w:left="720" w:hanging="360"/>
      </w:pPr>
    </w:lvl>
    <w:lvl w:ilvl="1" w:tplc="68318437" w:tentative="1">
      <w:start w:val="1"/>
      <w:numFmt w:val="lowerLetter"/>
      <w:lvlText w:val="%2."/>
      <w:lvlJc w:val="left"/>
      <w:pPr>
        <w:ind w:left="1440" w:hanging="360"/>
      </w:pPr>
    </w:lvl>
    <w:lvl w:ilvl="2" w:tplc="68318437" w:tentative="1">
      <w:start w:val="1"/>
      <w:numFmt w:val="lowerRoman"/>
      <w:lvlText w:val="%3."/>
      <w:lvlJc w:val="right"/>
      <w:pPr>
        <w:ind w:left="2160" w:hanging="180"/>
      </w:pPr>
    </w:lvl>
    <w:lvl w:ilvl="3" w:tplc="68318437" w:tentative="1">
      <w:start w:val="1"/>
      <w:numFmt w:val="decimal"/>
      <w:lvlText w:val="%4."/>
      <w:lvlJc w:val="left"/>
      <w:pPr>
        <w:ind w:left="2880" w:hanging="360"/>
      </w:pPr>
    </w:lvl>
    <w:lvl w:ilvl="4" w:tplc="68318437" w:tentative="1">
      <w:start w:val="1"/>
      <w:numFmt w:val="lowerLetter"/>
      <w:lvlText w:val="%5."/>
      <w:lvlJc w:val="left"/>
      <w:pPr>
        <w:ind w:left="3600" w:hanging="360"/>
      </w:pPr>
    </w:lvl>
    <w:lvl w:ilvl="5" w:tplc="68318437" w:tentative="1">
      <w:start w:val="1"/>
      <w:numFmt w:val="lowerRoman"/>
      <w:lvlText w:val="%6."/>
      <w:lvlJc w:val="right"/>
      <w:pPr>
        <w:ind w:left="4320" w:hanging="180"/>
      </w:pPr>
    </w:lvl>
    <w:lvl w:ilvl="6" w:tplc="68318437" w:tentative="1">
      <w:start w:val="1"/>
      <w:numFmt w:val="decimal"/>
      <w:lvlText w:val="%7."/>
      <w:lvlJc w:val="left"/>
      <w:pPr>
        <w:ind w:left="5040" w:hanging="360"/>
      </w:pPr>
    </w:lvl>
    <w:lvl w:ilvl="7" w:tplc="68318437" w:tentative="1">
      <w:start w:val="1"/>
      <w:numFmt w:val="lowerLetter"/>
      <w:lvlText w:val="%8."/>
      <w:lvlJc w:val="left"/>
      <w:pPr>
        <w:ind w:left="5760" w:hanging="360"/>
      </w:pPr>
    </w:lvl>
    <w:lvl w:ilvl="8" w:tplc="68318437" w:tentative="1">
      <w:start w:val="1"/>
      <w:numFmt w:val="lowerRoman"/>
      <w:lvlText w:val="%9."/>
      <w:lvlJc w:val="right"/>
      <w:pPr>
        <w:ind w:left="6480" w:hanging="180"/>
      </w:pPr>
    </w:lvl>
  </w:abstractNum>
  <w:abstractNum w:abstractNumId="38966948">
    <w:multiLevelType w:val="hybridMultilevel"/>
    <w:lvl w:ilvl="0" w:tplc="864957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966948">
    <w:abstractNumId w:val="38966948"/>
  </w:num>
  <w:num w:numId="38966949">
    <w:abstractNumId w:val="389669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2573207" Type="http://schemas.microsoft.com/office/2011/relationships/commentsExtended" Target="commentsExtended.xml"/><Relationship Id="rId676069b01789f248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