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fragariae (PHYTFR)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Cyprus (1993); Denmark (2013); Finland (2013); France (1993); Germany (1998); Ireland (1993); Italy (1992); Lithuania (1998); Luxembourg (1992); Netherlands (2015); Slovakia (1994); Slovenia (1995); Sweden (1993); United Kingdom (1993);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3269365398d6f0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Phytophthora fragariae.</w:t>
      </w:r>
      <w:r>
        <w:rPr>
          <w:color w:val="0200C9"/>
          <w:sz w:val="24"/>
          <w:szCs w:val="24"/>
        </w:rPr>
        <w:br/>
        <w:t xml:space="preserve">AND</w:t>
      </w:r>
      <w:r>
        <w:rPr>
          <w:color w:val="0200C9"/>
          <w:sz w:val="24"/>
          <w:szCs w:val="24"/>
        </w:rPr>
        <w:br/>
        <w:t xml:space="preserve">(B) (a) Plants produced in areas known to be free from Phytophthora fragariae;</w:t>
      </w:r>
      <w:r>
        <w:rPr>
          <w:color w:val="0200C9"/>
          <w:sz w:val="24"/>
          <w:szCs w:val="24"/>
        </w:rPr>
        <w:br/>
        <w:t xml:space="preserve">or</w:t>
      </w:r>
      <w:r>
        <w:rPr>
          <w:color w:val="0200C9"/>
          <w:sz w:val="24"/>
          <w:szCs w:val="24"/>
        </w:rPr>
        <w:br/>
        <w:t xml:space="preserve">(b) Site of production found free from Phytophthora fragariae over the last complete growing season at appropriate times by visual inspection of the foliage and, where indicative symptoms are seen, a representative sample of roots, with any plants found to be infected, and plants in a surrounding zone of at least 5m radius, marked, excluded from lifting and marketing, and then destroyed [not removed immediately to avoid spreading the pathogen before the uninfected plants are lifted].</w:t>
      </w:r>
      <w:r>
        <w:rPr>
          <w:color w:val="0200C9"/>
          <w:sz w:val="24"/>
          <w:szCs w:val="24"/>
        </w:rPr>
        <w:br/>
        <w:br/>
        <w:t xml:space="preserve">Pre-basic, Basic, Certified material, additional measures could include:</w:t>
      </w:r>
      <w:r>
        <w:rPr>
          <w:color w:val="0200C9"/>
          <w:sz w:val="24"/>
          <w:szCs w:val="24"/>
        </w:rPr>
        <w:br/>
        <w:t xml:space="preserve">o Recording of cropping and soil borne disease history of fields;</w:t>
      </w:r>
      <w:r>
        <w:rPr>
          <w:color w:val="0200C9"/>
          <w:sz w:val="24"/>
          <w:szCs w:val="24"/>
        </w:rPr>
        <w:br/>
        <w:t xml:space="preserve">o Rest period from host plants of at least ten years between findings of the pest and next planting;</w:t>
      </w:r>
      <w:r>
        <w:rPr>
          <w:color w:val="0200C9"/>
          <w:sz w:val="24"/>
          <w:szCs w:val="24"/>
        </w:rPr>
        <w:br/>
        <w:t xml:space="preserve">o Testing of pre-basic mother plants;</w:t>
      </w:r>
      <w:r>
        <w:rPr>
          <w:color w:val="0200C9"/>
          <w:sz w:val="24"/>
          <w:szCs w:val="24"/>
        </w:rPr>
        <w:br/>
        <w:t xml:space="preserve">o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139869365398d7167"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Phytophthora fragariae, as compared to the variation in normal strawberry cultivars, however F. vesca is used frequently as a bait plant for Pf due to its susceptibility (EFSA 2014). Therefore it concluded these species would react to the pest in a similar way to commercial cultivars and in some cases be more susceptible. The pathogen can survive as oospores in plant debris or the soil for at least 10 years. Soil bait tests, rotation of crops, prevention of soil water movement and use of fumigants can provide some management avoidance.</w:t>
      </w:r>
      <w:r>
        <w:rPr>
          <w:color w:val="0200C9"/>
          <w:sz w:val="24"/>
          <w:szCs w:val="24"/>
        </w:rPr>
        <w:br/>
        <w:t xml:space="preserve">It is concluded plants for planting are a pathway, and can be considered a significant pathway compared to others if being grown in uninfested growing media or soil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infection by the pest in a similar way. There are many references to the economic effects of red-core in commercial strawberry, and F. vesca bait plants used for diagnosis will die within a few weeks under suitable wet soil conditions. However, for the ornamental sector, experts considered that a substantially free from requirement would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Experts considered that propagation for fruit and ornamental strawberry is performed by different producers in different places of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ornamental fragaria.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risks to plant health posed by Phytophthora fragariae Hickman var. fragariae in the EU territory, with the identification and evaluation of risk reduction options. EFSA Journal 2014;12(1):3539, 63 pp. doi:10.2903/j.efsa.2014.3539 </w:t>
      </w:r>
      <w:hyperlink r:id="rId422869365398d75b3" w:history="1">
        <w:r>
          <w:rPr>
            <w:color w:val="0200C9"/>
            <w:sz w:val="24"/>
            <w:szCs w:val="24"/>
          </w:rPr>
          <w:t xml:space="preserve">http://www.efsa.europa.eu/sites/default/files/scientific_output/files/main_documents/3539.pdf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Phytophthora fragariae Hickman;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949129">
    <w:multiLevelType w:val="hybridMultilevel"/>
    <w:lvl w:ilvl="0" w:tplc="92852433">
      <w:start w:val="1"/>
      <w:numFmt w:val="decimal"/>
      <w:lvlText w:val="%1."/>
      <w:lvlJc w:val="left"/>
      <w:pPr>
        <w:ind w:left="720" w:hanging="360"/>
      </w:pPr>
    </w:lvl>
    <w:lvl w:ilvl="1" w:tplc="92852433" w:tentative="1">
      <w:start w:val="1"/>
      <w:numFmt w:val="lowerLetter"/>
      <w:lvlText w:val="%2."/>
      <w:lvlJc w:val="left"/>
      <w:pPr>
        <w:ind w:left="1440" w:hanging="360"/>
      </w:pPr>
    </w:lvl>
    <w:lvl w:ilvl="2" w:tplc="92852433" w:tentative="1">
      <w:start w:val="1"/>
      <w:numFmt w:val="lowerRoman"/>
      <w:lvlText w:val="%3."/>
      <w:lvlJc w:val="right"/>
      <w:pPr>
        <w:ind w:left="2160" w:hanging="180"/>
      </w:pPr>
    </w:lvl>
    <w:lvl w:ilvl="3" w:tplc="92852433" w:tentative="1">
      <w:start w:val="1"/>
      <w:numFmt w:val="decimal"/>
      <w:lvlText w:val="%4."/>
      <w:lvlJc w:val="left"/>
      <w:pPr>
        <w:ind w:left="2880" w:hanging="360"/>
      </w:pPr>
    </w:lvl>
    <w:lvl w:ilvl="4" w:tplc="92852433" w:tentative="1">
      <w:start w:val="1"/>
      <w:numFmt w:val="lowerLetter"/>
      <w:lvlText w:val="%5."/>
      <w:lvlJc w:val="left"/>
      <w:pPr>
        <w:ind w:left="3600" w:hanging="360"/>
      </w:pPr>
    </w:lvl>
    <w:lvl w:ilvl="5" w:tplc="92852433" w:tentative="1">
      <w:start w:val="1"/>
      <w:numFmt w:val="lowerRoman"/>
      <w:lvlText w:val="%6."/>
      <w:lvlJc w:val="right"/>
      <w:pPr>
        <w:ind w:left="4320" w:hanging="180"/>
      </w:pPr>
    </w:lvl>
    <w:lvl w:ilvl="6" w:tplc="92852433" w:tentative="1">
      <w:start w:val="1"/>
      <w:numFmt w:val="decimal"/>
      <w:lvlText w:val="%7."/>
      <w:lvlJc w:val="left"/>
      <w:pPr>
        <w:ind w:left="5040" w:hanging="360"/>
      </w:pPr>
    </w:lvl>
    <w:lvl w:ilvl="7" w:tplc="92852433" w:tentative="1">
      <w:start w:val="1"/>
      <w:numFmt w:val="lowerLetter"/>
      <w:lvlText w:val="%8."/>
      <w:lvlJc w:val="left"/>
      <w:pPr>
        <w:ind w:left="5760" w:hanging="360"/>
      </w:pPr>
    </w:lvl>
    <w:lvl w:ilvl="8" w:tplc="92852433" w:tentative="1">
      <w:start w:val="1"/>
      <w:numFmt w:val="lowerRoman"/>
      <w:lvlText w:val="%9."/>
      <w:lvlJc w:val="right"/>
      <w:pPr>
        <w:ind w:left="6480" w:hanging="180"/>
      </w:pPr>
    </w:lvl>
  </w:abstractNum>
  <w:abstractNum w:abstractNumId="26949128">
    <w:multiLevelType w:val="hybridMultilevel"/>
    <w:lvl w:ilvl="0" w:tplc="912629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949128">
    <w:abstractNumId w:val="26949128"/>
  </w:num>
  <w:num w:numId="26949129">
    <w:abstractNumId w:val="269491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0609483" Type="http://schemas.microsoft.com/office/2011/relationships/commentsExtended" Target="commentsExtended.xml"/><Relationship Id="rId993269365398d6f0d" Type="http://schemas.openxmlformats.org/officeDocument/2006/relationships/hyperlink" Target="https://gd.eppo.int/" TargetMode="External"/><Relationship Id="rId139869365398d7167" Type="http://schemas.openxmlformats.org/officeDocument/2006/relationships/hyperlink" Target="http://www.efsa.europa.eu/sites/default/files/scientific_output/files/main_documents/3539.pdf" TargetMode="External"/><Relationship Id="rId422869365398d75b3" Type="http://schemas.openxmlformats.org/officeDocument/2006/relationships/hyperlink" Target="http://www.efsa.europa.eu/sites/default/files/scientific_output/files/main_documents/353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