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Other crops,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Other crops,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876a138e0c9de1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26186a138e0c9e47e"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57786a138e0c9e4ce"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56586a138e0c9e536"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79446a138e0c9eb33"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50366a138e0c9eb9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16556a138e0c9ec07"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7616a138e0c9f4b1"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45886a138e0c9fbb8"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60566a138e0c9fbf0"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53226a138e0ca017e"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56346a138e0ca06be"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08959">
    <w:multiLevelType w:val="hybridMultilevel"/>
    <w:lvl w:ilvl="0" w:tplc="62064793">
      <w:start w:val="1"/>
      <w:numFmt w:val="decimal"/>
      <w:lvlText w:val="%1."/>
      <w:lvlJc w:val="left"/>
      <w:pPr>
        <w:ind w:left="720" w:hanging="360"/>
      </w:pPr>
    </w:lvl>
    <w:lvl w:ilvl="1" w:tplc="62064793" w:tentative="1">
      <w:start w:val="1"/>
      <w:numFmt w:val="lowerLetter"/>
      <w:lvlText w:val="%2."/>
      <w:lvlJc w:val="left"/>
      <w:pPr>
        <w:ind w:left="1440" w:hanging="360"/>
      </w:pPr>
    </w:lvl>
    <w:lvl w:ilvl="2" w:tplc="62064793" w:tentative="1">
      <w:start w:val="1"/>
      <w:numFmt w:val="lowerRoman"/>
      <w:lvlText w:val="%3."/>
      <w:lvlJc w:val="right"/>
      <w:pPr>
        <w:ind w:left="2160" w:hanging="180"/>
      </w:pPr>
    </w:lvl>
    <w:lvl w:ilvl="3" w:tplc="62064793" w:tentative="1">
      <w:start w:val="1"/>
      <w:numFmt w:val="decimal"/>
      <w:lvlText w:val="%4."/>
      <w:lvlJc w:val="left"/>
      <w:pPr>
        <w:ind w:left="2880" w:hanging="360"/>
      </w:pPr>
    </w:lvl>
    <w:lvl w:ilvl="4" w:tplc="62064793" w:tentative="1">
      <w:start w:val="1"/>
      <w:numFmt w:val="lowerLetter"/>
      <w:lvlText w:val="%5."/>
      <w:lvlJc w:val="left"/>
      <w:pPr>
        <w:ind w:left="3600" w:hanging="360"/>
      </w:pPr>
    </w:lvl>
    <w:lvl w:ilvl="5" w:tplc="62064793" w:tentative="1">
      <w:start w:val="1"/>
      <w:numFmt w:val="lowerRoman"/>
      <w:lvlText w:val="%6."/>
      <w:lvlJc w:val="right"/>
      <w:pPr>
        <w:ind w:left="4320" w:hanging="180"/>
      </w:pPr>
    </w:lvl>
    <w:lvl w:ilvl="6" w:tplc="62064793" w:tentative="1">
      <w:start w:val="1"/>
      <w:numFmt w:val="decimal"/>
      <w:lvlText w:val="%7."/>
      <w:lvlJc w:val="left"/>
      <w:pPr>
        <w:ind w:left="5040" w:hanging="360"/>
      </w:pPr>
    </w:lvl>
    <w:lvl w:ilvl="7" w:tplc="62064793" w:tentative="1">
      <w:start w:val="1"/>
      <w:numFmt w:val="lowerLetter"/>
      <w:lvlText w:val="%8."/>
      <w:lvlJc w:val="left"/>
      <w:pPr>
        <w:ind w:left="5760" w:hanging="360"/>
      </w:pPr>
    </w:lvl>
    <w:lvl w:ilvl="8" w:tplc="62064793" w:tentative="1">
      <w:start w:val="1"/>
      <w:numFmt w:val="lowerRoman"/>
      <w:lvlText w:val="%9."/>
      <w:lvlJc w:val="right"/>
      <w:pPr>
        <w:ind w:left="6480" w:hanging="180"/>
      </w:pPr>
    </w:lvl>
  </w:abstractNum>
  <w:abstractNum w:abstractNumId="68908958">
    <w:multiLevelType w:val="hybridMultilevel"/>
    <w:lvl w:ilvl="0" w:tplc="83798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08958">
    <w:abstractNumId w:val="68908958"/>
  </w:num>
  <w:num w:numId="68908959">
    <w:abstractNumId w:val="68908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825549" Type="http://schemas.microsoft.com/office/2011/relationships/commentsExtended" Target="commentsExtended.xml"/><Relationship Id="rId46876a138e0c9de13" Type="http://schemas.openxmlformats.org/officeDocument/2006/relationships/hyperlink" Target="https://gd.eppo.int/" TargetMode="External"/><Relationship Id="rId26186a138e0c9e47e" Type="http://schemas.openxmlformats.org/officeDocument/2006/relationships/hyperlink" Target="http://library.essentialwholesale.com/is-lavender-under-threat/" TargetMode="External"/><Relationship Id="rId57786a138e0c9e4ce" Type="http://schemas.openxmlformats.org/officeDocument/2006/relationships/hyperlink" Target="http://www.efsa.europa.eu/en/efsajournal/doc/3924.pdf" TargetMode="External"/><Relationship Id="rId56586a138e0c9e536" Type="http://schemas.openxmlformats.org/officeDocument/2006/relationships/hyperlink" Target="http://inteliagro.bg/Files/ed87d116-5fc3-4fcd-a0fb-5853f327a52bLavender%20production%20in%20Bulgaria_ENG.pdf" TargetMode="External"/><Relationship Id="rId79446a138e0c9eb33" Type="http://schemas.openxmlformats.org/officeDocument/2006/relationships/hyperlink" Target="http://library.essentialwholesale.com/is-lavender-under-threat/" TargetMode="External"/><Relationship Id="rId50366a138e0c9eb9d" Type="http://schemas.openxmlformats.org/officeDocument/2006/relationships/hyperlink" Target="http://www.efsa.europa.eu/en/efsajournal/doc/3924.pdf" TargetMode="External"/><Relationship Id="rId16556a138e0c9ec07" Type="http://schemas.openxmlformats.org/officeDocument/2006/relationships/hyperlink" Target="http://inteliagro.bg/Files/ed87d116-5fc3-4fcd-a0fb-5853f327a52bLavender%20production%20in%20Bulgaria_ENG.pdf" TargetMode="External"/><Relationship Id="rId77616a138e0c9f4b1" Type="http://schemas.openxmlformats.org/officeDocument/2006/relationships/hyperlink" Target="http://www.efsa.europa.eu/en/efsajournal/doc/3924.pdf" TargetMode="External"/><Relationship Id="rId45886a138e0c9fbb8" Type="http://schemas.openxmlformats.org/officeDocument/2006/relationships/hyperlink" Target="https://www.ncbi.nlm.nih.gov/pmc/articles/PMC4174827/" TargetMode="External"/><Relationship Id="rId60566a138e0c9fbf0" Type="http://schemas.openxmlformats.org/officeDocument/2006/relationships/hyperlink" Target="http://www.efsa.europa.eu/en/efsajournal/doc/3924.pdf" TargetMode="External"/><Relationship Id="rId53226a138e0ca017e" Type="http://schemas.openxmlformats.org/officeDocument/2006/relationships/hyperlink" Target="http://www.efsa.europa.eu/en/efsajournal/doc/3924.pdf" TargetMode="External"/><Relationship Id="rId56346a138e0ca06be"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