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prunorum (Apricot chlorotic leafroll mycoplasm) (PHYPPR)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Apricot chlorotic leafroll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Fruit and ornamental sectors: Candidatus phytoplasma prunorum has been detected frequently on Prunus armeniaca, P. salicina, P. domestica, P. persica and more rarely on P. amygdalus (Cieślińska, 2011). Wild species of P. spinosa and P. cerasifera are frequently host plants. This diversity is supporting a listing at the Genus level for Prunus.</w:t>
      </w:r>
      <w:r>
        <w:rPr>
          <w:color w:val="0200C9"/>
          <w:sz w:val="24"/>
          <w:szCs w:val="24"/>
        </w:rPr>
        <w:br/>
        <w:t xml:space="preserve">For the Forestry sector: Prunus avium is the only host of the Prunus genus listed in Annex I of EU Directive 1999/105. However experts also considered during the evaluation other Prunus species, since other species are more susceptible to the disease and could also be grown in forest nurseries.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(2012); Belgium (2012); Bulgaria (2012); Croatia (2012); Czech Republic (2012); France (2012); France/Corse (2012); Germany (2012); Greece (2012); Hungary (2012); Italy (2012); Italy/Sardegna (2012); Poland (2012); Romania (2012); Slovakia (2012); Slovenia (2012); Spain (2015); United Kingdom (2000); United Kingdom/England (2000)</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8706621d725de944" w:history="1">
        <w:r>
          <w:rPr>
            <w:color w:val="0200C9"/>
            <w:sz w:val="24"/>
            <w:szCs w:val="24"/>
          </w:rPr>
          <w:t xml:space="preserve">https://gd.eppo.int/</w:t>
        </w:r>
      </w:hyperlink>
      <w:r>
        <w:rPr>
          <w:color w:val="0200C9"/>
          <w:sz w:val="24"/>
          <w:szCs w:val="24"/>
        </w:rPr>
        <w:t xml:space="preserve">). This pest is a candidate for the RNQP status according to the IIA2AWG.</w:t>
      </w:r>
      <w:r>
        <w:rPr>
          <w:color w:val="0200C9"/>
          <w:sz w:val="24"/>
          <w:szCs w:val="24"/>
        </w:rPr>
        <w:br/>
        <w:t xml:space="preserve">Comment by forestry experts: Very limited number of analyses were performed on Prunus avium, but besides older data, new reports are confirmed from Poland (Cieslinska 2015), Czech Republic (Ludvikova et al., 2011) and Hungary (Tarcali &amp; Kovics, 2012). Since no targeted surveys of CPp infection on Prunus avium are undertaken, the distribution of CPp in Europe is unclear and suspected to be underestimated.</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All species of the Prunus genus are not covered by the EPPO PM 4/30 Standard, evaluation continues for the whole genus.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an efficient pathway. Pathogen concentration and distribution in the trees is fluctuant in space and during the year. Wild tolerant hosts are an important source of infection (Seljak and Rot, 2013) and are present in most of the regions producing stone fruit. Vector transmission is a pathway, especially in regions where the vector Cacopsylla pruni is present. In these regions vector transmission might be the main pathway, but it is still important, even in these regions, to delay the occurrence of symptoms and damages. Experts concluded that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phytoplasma is present in the EU area. Prunus armeniaca and japanese plums (P. salicina) are particularly impacted as this phytoplasma can lead to the mortality of the plants (ANSES, 2012). It causes substantial economic losses due to tree decline, reduction in fruit weight and quality. Economic incidence is less important for P. persica, P. amygdalus and P. domestica. In France, in the department Pyrenees-Orientales, about 80 % of the mortality and decline observed on</w:t>
      </w:r>
      <w:r>
        <w:rPr>
          <w:color w:val="0200C9"/>
          <w:sz w:val="24"/>
          <w:szCs w:val="24"/>
        </w:rPr>
        <w:br/>
        <w:t xml:space="preserve">apricot is due to ESFY and the production losses associated with ESFY in Italian plum orchards reach up to 40 % in Japanese plum. The economic incidence, however, depends on the susceptibility of the Prunus species, cultivars and varieties and the strain virulence. The disease is reported as “economically very important” and “severe” by different authors in major stone-fruit-growing areas of Europe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Crop losses and tree decline cause an unacceptable economic impact.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Epidemiological data is lacking on the presence and impact of ESFY in certain regions (Steffek et al., 2012). However ‘Ca. P. prunorum’ is spread in most stone producing areas of Central and Southern Europe, where it has a substantial impact on apricots, Japanese plums and peaches.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'Candidatus Phytoplasma prunorum'. In the case of Prunus domestica rootstocks, it should derive from mother plants that have been tested within the previous 5 years and found free from the pest;</w:t>
      </w:r>
      <w:r>
        <w:rPr>
          <w:color w:val="0200C9"/>
          <w:sz w:val="24"/>
          <w:szCs w:val="24"/>
        </w:rPr>
        <w:br/>
        <w:t xml:space="preserve">AND</w:t>
      </w:r>
      <w:r>
        <w:rPr>
          <w:color w:val="0200C9"/>
          <w:sz w:val="24"/>
          <w:szCs w:val="24"/>
        </w:rPr>
        <w:br/>
        <w:t xml:space="preserve">(B) (a) Plants produced in areas known to be free from 'Candidatus Phytoplasma prunorum';</w:t>
      </w:r>
      <w:r>
        <w:rPr>
          <w:color w:val="0200C9"/>
          <w:sz w:val="24"/>
          <w:szCs w:val="24"/>
        </w:rPr>
        <w:br/>
        <w:t xml:space="preserve">or</w:t>
      </w:r>
      <w:r>
        <w:rPr>
          <w:color w:val="0200C9"/>
          <w:sz w:val="24"/>
          <w:szCs w:val="24"/>
        </w:rPr>
        <w:br/>
        <w:t xml:space="preserve">(b) Site of production found free from 'Candidatus Phytoplasma prunorum'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prunorum'.</w:t>
      </w:r>
      <w:r>
        <w:rPr>
          <w:color w:val="0200C9"/>
          <w:sz w:val="24"/>
          <w:szCs w:val="24"/>
        </w:rPr>
        <w:br/>
        <w:br/>
        <w:t xml:space="preserve">Pre-basic, Basic and Certified: Additional measures could include</w:t>
      </w:r>
      <w:r>
        <w:rPr>
          <w:color w:val="0200C9"/>
          <w:sz w:val="24"/>
          <w:szCs w:val="24"/>
        </w:rPr>
        <w:br/>
        <w:t xml:space="preserve">• Cultivation under insect-proof conditions (pre-basic);</w:t>
      </w:r>
      <w:r>
        <w:rPr>
          <w:color w:val="0200C9"/>
          <w:sz w:val="24"/>
          <w:szCs w:val="24"/>
        </w:rPr>
        <w:br/>
        <w:t xml:space="preserve">• Isolation of mother plants from host plants of the pest and the vector, including uncultivated plants;</w:t>
      </w:r>
      <w:r>
        <w:rPr>
          <w:color w:val="0200C9"/>
          <w:sz w:val="24"/>
          <w:szCs w:val="24"/>
        </w:rPr>
        <w:br/>
        <w:t xml:space="preserve">• Testing of candidate trees for mother plants;</w:t>
      </w:r>
      <w:r>
        <w:rPr>
          <w:color w:val="0200C9"/>
          <w:sz w:val="24"/>
          <w:szCs w:val="24"/>
        </w:rPr>
        <w:br/>
        <w:t xml:space="preserve">• Mother plants in protected cultivation - retesting of all plants (pre-basic) or a representative sample (basic and certified) at least every 15 years;</w:t>
      </w:r>
      <w:r>
        <w:rPr>
          <w:color w:val="0200C9"/>
          <w:sz w:val="24"/>
          <w:szCs w:val="24"/>
        </w:rPr>
        <w:br/>
        <w:t xml:space="preserve">• Other mother plants - testing of a representative sample (basic and certified) at least every 5 years;</w:t>
      </w:r>
      <w:r>
        <w:rPr>
          <w:color w:val="0200C9"/>
          <w:sz w:val="24"/>
          <w:szCs w:val="24"/>
        </w:rPr>
        <w:br/>
        <w:t xml:space="preserve">• More testing in case of finding of an infection, including testing of all mother plants in the production site;</w:t>
      </w:r>
      <w:r>
        <w:rPr>
          <w:color w:val="0200C9"/>
          <w:sz w:val="24"/>
          <w:szCs w:val="24"/>
        </w:rPr>
        <w:br/>
        <w:t xml:space="preserve">• Regular testing of mother plants in the case of Prunus domestica rootstocks in which symptoms cannot be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2% failure rate is a mean of proposals submitted within replies to the RNQP Questionnaire. Mother plants of CAC material should be inspected. There is a risk of Prunus spinosa (asymptomatic) being in the environment. Destroying contaminated plants in the immediate vicinity would be useful; however it is difficult to apply for non-quarantine pests. Prunus domestica rootstocks are asymptomatic.</w:t>
      </w:r>
      <w:r>
        <w:rPr>
          <w:color w:val="0200C9"/>
          <w:sz w:val="24"/>
          <w:szCs w:val="24"/>
        </w:rPr>
        <w:br/>
        <w:t xml:space="preserve">Experts discussed the ratio cost/benefit of a more systematic testing of CAC mother plants: This would allow detection of asymptomatic plants. However, this was counterbalanced by the difficulty of testing (testing of the roots would be more reliable, but not practical) and by the risk of reinfestation in case of high vector pressure. No consensus was reached within the core-HEWGplus on the added value of such a more systematic testing, in the context of the RNQP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14376621d725def26"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Apricot chlorotic leafroll mycoplasma;</w:t>
      </w:r>
    </w:p>
    <w:p>
      <w:pPr>
        <w:numPr>
          <w:ilvl w:val="0"/>
          <w:numId w:val="1"/>
        </w:numPr>
        <w:spacing w:before="0" w:after="0" w:line="240" w:lineRule="auto"/>
        <w:jc w:val="left"/>
        <w:rPr>
          <w:color w:val="0200C9"/>
          <w:sz w:val="24"/>
          <w:szCs w:val="24"/>
        </w:rPr>
      </w:pPr>
      <w:r>
        <w:rPr>
          <w:color w:val="0200C9"/>
          <w:sz w:val="24"/>
          <w:szCs w:val="24"/>
        </w:rPr>
        <w:t xml:space="preserve">Mehle N, Ravnikar M, Seljak G, Knapic V, Dermastia M (2011) The most widespread phytoplasmas, vectors and measures for disease control in Slovenia. Phytopathogenic Mollicutes 1: 65- 76. Available at: </w:t>
      </w:r>
      <w:hyperlink r:id="rId79086621d725def84" w:history="1">
        <w:r>
          <w:rPr>
            <w:color w:val="0200C9"/>
            <w:sz w:val="24"/>
            <w:szCs w:val="24"/>
          </w:rPr>
          <w:t xml:space="preserve">http://www.kmetijskizavod-ng.si/priponke/OVR/fitoplazme_slovenia.pdf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49936621d725defc1"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Seljak G, Rot M (2013) Preučevanje bionomije češpljeve bolšice (Cacopsylla pruni) na Primorskem. Zbornik predavanj in referatov 11. slovenskega posvetovanja o varstvu rastlin z mednarodno udeležbo = Lectures and papers presented at the 11th Slovenian Conference on Plant Protection with International Participation, Bled, 5.–6. marec 2013 p.: 89-95. Available at </w:t>
      </w:r>
      <w:hyperlink r:id="rId76176621d725deffa" w:history="1">
        <w:r>
          <w:rPr>
            <w:color w:val="0200C9"/>
            <w:sz w:val="24"/>
            <w:szCs w:val="24"/>
          </w:rPr>
          <w:t xml:space="preserve">http://dvrs.bf.uni-lj.si/spvr/2013/17Seljak.pdf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Steffek R, Foliak S, Sauvion N, Labonne G, MacLeod A (2012) Distribution of ‘Candidatus Phytoplasma prunorum’ and its vector Cacopsylla pruni in European fruit-growing areas: a review. EPPO Bulletin 42, 191-202;</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All species of the Prunus genus are not covered by the EPPO PM 4/30 Standard, evaluation continues for the whole genus.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an efficient pathway. Pathogen concentration and distribution in the trees is fluctuant in space and during the year. Wild tolerant hosts are an important source of infection (Seljak and Rot, 2013) and are present in most of the regions producing stone fruit. Vector transmission is a pathway, especially in regions where the vector Cacopsylla pruni is present. In these regions vector transmission might be the main pathway, but it is still important, even in these regions, to delay the occurrence of symptoms and damages. Experts concluded that plants for planting are a significant pathway compared to other pathways. Remark: Plant species which are used as ornamentals, such as Fraxinus excelsior, Celtis australis, Rosa canina and wild Prunus species (e.g. Prunus spinosa), have been found to be infected by this phytoplasma (Jarausch et al., 2001; Carraro et al., 2002). Carraro et al. (2002) concluded that such plants are natural hosts for both the pathogen and the insect-vector, thus the cycle of the pathogen can be completed independently from the presence of cultivated stone-fruit trees, and thus the presence of these plants in an area play a role in the epidemiology of the disease.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No information of possible impacts on ornamental plants. However plants in the surroundings of stone-fruit tree orchards have been found infected by this phytoplasma (Jarausch et al., 2001; Carraro et al., 2002) and thus they may cause indirect economic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probably no economic impact for the ornamental use. However ornamental plants may be produced at the same place of production than plants for the fruit production, or planted in the surrounding area of stone-fruit orchards. It may be necessary to take measures on ornamental plants, in view of the risk they pose to the fruit sector.</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potential indirect economic impacts on fruit crops at the same place of production.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symptoms of 'Candidatus Phytoplasma prunorum'.</w:t>
      </w:r>
      <w:r>
        <w:rPr>
          <w:color w:val="0200C9"/>
          <w:sz w:val="24"/>
          <w:szCs w:val="24"/>
        </w:rPr>
        <w:br/>
        <w:t xml:space="preserve">AND</w:t>
      </w:r>
      <w:r>
        <w:rPr>
          <w:color w:val="0200C9"/>
          <w:sz w:val="24"/>
          <w:szCs w:val="24"/>
        </w:rPr>
        <w:br/>
        <w:t xml:space="preserve">(B) (a) Plants produced in areas known to be free from 'Candidatus Phytoplasma prunorum';</w:t>
      </w:r>
      <w:r>
        <w:rPr>
          <w:color w:val="0200C9"/>
          <w:sz w:val="24"/>
          <w:szCs w:val="24"/>
        </w:rPr>
        <w:br/>
        <w:t xml:space="preserve">or</w:t>
      </w:r>
      <w:r>
        <w:rPr>
          <w:color w:val="0200C9"/>
          <w:sz w:val="24"/>
          <w:szCs w:val="24"/>
        </w:rPr>
        <w:br/>
        <w:t xml:space="preserve">(b) Site of production found free from 'Candidatus Phytoplasma prunorum'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prunorum'.</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 Most ornamental Prunus are grafted on P. avium rootstocks.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76306621d725df594"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Carraro L, Ferrini F, Ermacora P &amp; Loi N (2002) Role of wild Prunus species in the epidemiology of European stone fruit yellows. Plant Pathology 51, 513–517;</w:t>
      </w:r>
    </w:p>
    <w:p>
      <w:pPr>
        <w:numPr>
          <w:ilvl w:val="0"/>
          <w:numId w:val="1"/>
        </w:numPr>
        <w:spacing w:before="0" w:after="0" w:line="240" w:lineRule="auto"/>
        <w:jc w:val="left"/>
        <w:rPr>
          <w:color w:val="0200C9"/>
          <w:sz w:val="24"/>
          <w:szCs w:val="24"/>
        </w:rPr>
      </w:pPr>
      <w:r>
        <w:rPr>
          <w:color w:val="0200C9"/>
          <w:sz w:val="24"/>
          <w:szCs w:val="24"/>
        </w:rPr>
        <w:t xml:space="preserve">Cieślińska M (2011) European Stone Fruit Yellows disease and its causal agent ‘Candidatus phytoplasma prunorum’. Journal of Plant Protection Research 51, 441-447;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Apricot chlorotic leafroll mycoplasma;</w:t>
      </w:r>
    </w:p>
    <w:p>
      <w:pPr>
        <w:numPr>
          <w:ilvl w:val="0"/>
          <w:numId w:val="1"/>
        </w:numPr>
        <w:spacing w:before="0" w:after="0" w:line="240" w:lineRule="auto"/>
        <w:jc w:val="left"/>
        <w:rPr>
          <w:color w:val="0200C9"/>
          <w:sz w:val="24"/>
          <w:szCs w:val="24"/>
        </w:rPr>
      </w:pPr>
      <w:r>
        <w:rPr>
          <w:color w:val="0200C9"/>
          <w:sz w:val="24"/>
          <w:szCs w:val="24"/>
        </w:rPr>
        <w:t xml:space="preserve">Jarausch W, Jarausch-Wehrheim B, Danet JL, Broquaire JM, Dosba F, Saillard C &amp; Garnier M (2001) Detection and indentification of European stone fruit yellows and other phytoplasmas in wild plants in the surroundings of apricot chlorotic leaf roll-affected orchards in southern France. European Journal of Plant Pathology 107, 209–217;</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40136621d725df632"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Sullivan M (2013) CPHST Pest Datasheet for ‘Candidatus Phytoplasma prunorum’. USDA-APHIS-PPQ-CPHST. Revised July 2016;</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Prunus (1PRNG)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Prunus avium is the only host plant belonging to the Prunus genus and listed in the EU Marketing Directive for forest reproductive material. Prunus avium is not covered by EPPO PM 4/30 Standard. Prunus avium is included in EPPO PM 4/29 Standard (Certification scheme for cherries for fruit) but Candidatus phytoplasma prunorum is not included there because P. avium was considered resistant and not a significant host of this pathogen (EU COM, 2016).</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Prunus plants for planting can be a very efficient pathway, when propagated from infested plants. Vector transmission is also a pathway. However sweet cherries (P. avium), sour cherries (P. cerasus) and bird cherry (P. padus) are highly resistant and do not play a role in the epidemiology (EU COM, 2016). Plants for planting of P. avium are not the main pathway for this pest/host/combination. However evaluation continues in relation to other Prunus species used for forestry purpose.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information of possible impacts on forest plants is known (Symptoms of ESFY are obvious only in P. armeniaca, P. salicina and P. persica, whereas other important species are either tolerant, usually not showing symptoms. For Prunus avium, no impact is known on forest plants nor on fruit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is probably no economic impact for the forestry use. However forest plants may be produced at the same place of production than plants for the fruit production. Measures may be proposed on Prunus for the fruit sector to prevent from any cross-contamination, if nurseries produce fruit and forest trees at the same time. Prunus avium which is highly resistant, hosts neither the pathogen nor the vector.</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economic impact in the forestry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97116621d725dfa2a"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Ciesliñska M &amp; Smolarek T (2015) Molecular diversity of phytoplasmas infecting cherry trees in Poland. Phytopathogenic Mollicutes 5, S31-S32;</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Apricot chlorotic leafroll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53576621d725dfa90"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Ludvikova H, Franova J &amp; Sucha J (2011) Phytoplasmas in apricot, peach and sour cherry orchards in East Bohemia, Czech Republic. Bulletin of Insectology 64: S67-S68;</w:t>
      </w:r>
    </w:p>
    <w:p>
      <w:pPr>
        <w:numPr>
          <w:ilvl w:val="0"/>
          <w:numId w:val="1"/>
        </w:numPr>
        <w:spacing w:before="0" w:after="0" w:line="240" w:lineRule="auto"/>
        <w:jc w:val="left"/>
        <w:rPr>
          <w:color w:val="0200C9"/>
          <w:sz w:val="24"/>
          <w:szCs w:val="24"/>
        </w:rPr>
      </w:pPr>
      <w:r>
        <w:rPr>
          <w:color w:val="0200C9"/>
          <w:sz w:val="24"/>
          <w:szCs w:val="24"/>
        </w:rPr>
        <w:t xml:space="preserve">Marcone C, Jarausch B, Jarausch W (2010) Candidatus Phytoplasma prunorum, the causal agent of European stone fruit yellows: an overview. Journal of Plant Pathology 92, 19-34.</w:t>
      </w:r>
    </w:p>
    <w:p>
      <w:pPr>
        <w:numPr>
          <w:ilvl w:val="0"/>
          <w:numId w:val="1"/>
        </w:numPr>
        <w:spacing w:before="0" w:after="0" w:line="240" w:lineRule="auto"/>
        <w:jc w:val="left"/>
        <w:rPr>
          <w:color w:val="0200C9"/>
          <w:sz w:val="24"/>
          <w:szCs w:val="24"/>
        </w:rPr>
      </w:pPr>
      <w:r>
        <w:rPr>
          <w:color w:val="0200C9"/>
          <w:sz w:val="24"/>
          <w:szCs w:val="24"/>
        </w:rPr>
        <w:t xml:space="preserve">Mehle N, Ravnikar M, Seljak G, Knapic V &amp; Dermastia M (2011) The most widespread phytoplasmas, vectors and measures for disease control in Slovenia. Phytopathogenic Mollicutes 1, 65-76;</w:t>
      </w:r>
    </w:p>
    <w:p>
      <w:pPr>
        <w:numPr>
          <w:ilvl w:val="0"/>
          <w:numId w:val="1"/>
        </w:numPr>
        <w:spacing w:before="0" w:after="0" w:line="240" w:lineRule="auto"/>
        <w:jc w:val="left"/>
        <w:rPr>
          <w:color w:val="0200C9"/>
          <w:sz w:val="24"/>
          <w:szCs w:val="24"/>
        </w:rPr>
      </w:pPr>
      <w:r>
        <w:rPr>
          <w:color w:val="0200C9"/>
          <w:sz w:val="24"/>
          <w:szCs w:val="24"/>
        </w:rPr>
        <w:t xml:space="preserve">Tarcali G &amp; Kövics GJ (2012) New data of Ca. Phytoplasma prunorum occurrence in the Eastern part of the Carpathian-Basin. Journal of Agricultural Sciences, Debrecen 50, 105-110;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35931">
    <w:multiLevelType w:val="hybridMultilevel"/>
    <w:lvl w:ilvl="0" w:tplc="41575159">
      <w:start w:val="1"/>
      <w:numFmt w:val="decimal"/>
      <w:lvlText w:val="%1."/>
      <w:lvlJc w:val="left"/>
      <w:pPr>
        <w:ind w:left="720" w:hanging="360"/>
      </w:pPr>
    </w:lvl>
    <w:lvl w:ilvl="1" w:tplc="41575159" w:tentative="1">
      <w:start w:val="1"/>
      <w:numFmt w:val="lowerLetter"/>
      <w:lvlText w:val="%2."/>
      <w:lvlJc w:val="left"/>
      <w:pPr>
        <w:ind w:left="1440" w:hanging="360"/>
      </w:pPr>
    </w:lvl>
    <w:lvl w:ilvl="2" w:tplc="41575159" w:tentative="1">
      <w:start w:val="1"/>
      <w:numFmt w:val="lowerRoman"/>
      <w:lvlText w:val="%3."/>
      <w:lvlJc w:val="right"/>
      <w:pPr>
        <w:ind w:left="2160" w:hanging="180"/>
      </w:pPr>
    </w:lvl>
    <w:lvl w:ilvl="3" w:tplc="41575159" w:tentative="1">
      <w:start w:val="1"/>
      <w:numFmt w:val="decimal"/>
      <w:lvlText w:val="%4."/>
      <w:lvlJc w:val="left"/>
      <w:pPr>
        <w:ind w:left="2880" w:hanging="360"/>
      </w:pPr>
    </w:lvl>
    <w:lvl w:ilvl="4" w:tplc="41575159" w:tentative="1">
      <w:start w:val="1"/>
      <w:numFmt w:val="lowerLetter"/>
      <w:lvlText w:val="%5."/>
      <w:lvlJc w:val="left"/>
      <w:pPr>
        <w:ind w:left="3600" w:hanging="360"/>
      </w:pPr>
    </w:lvl>
    <w:lvl w:ilvl="5" w:tplc="41575159" w:tentative="1">
      <w:start w:val="1"/>
      <w:numFmt w:val="lowerRoman"/>
      <w:lvlText w:val="%6."/>
      <w:lvlJc w:val="right"/>
      <w:pPr>
        <w:ind w:left="4320" w:hanging="180"/>
      </w:pPr>
    </w:lvl>
    <w:lvl w:ilvl="6" w:tplc="41575159" w:tentative="1">
      <w:start w:val="1"/>
      <w:numFmt w:val="decimal"/>
      <w:lvlText w:val="%7."/>
      <w:lvlJc w:val="left"/>
      <w:pPr>
        <w:ind w:left="5040" w:hanging="360"/>
      </w:pPr>
    </w:lvl>
    <w:lvl w:ilvl="7" w:tplc="41575159" w:tentative="1">
      <w:start w:val="1"/>
      <w:numFmt w:val="lowerLetter"/>
      <w:lvlText w:val="%8."/>
      <w:lvlJc w:val="left"/>
      <w:pPr>
        <w:ind w:left="5760" w:hanging="360"/>
      </w:pPr>
    </w:lvl>
    <w:lvl w:ilvl="8" w:tplc="41575159" w:tentative="1">
      <w:start w:val="1"/>
      <w:numFmt w:val="lowerRoman"/>
      <w:lvlText w:val="%9."/>
      <w:lvlJc w:val="right"/>
      <w:pPr>
        <w:ind w:left="6480" w:hanging="180"/>
      </w:pPr>
    </w:lvl>
  </w:abstractNum>
  <w:abstractNum w:abstractNumId="56235930">
    <w:multiLevelType w:val="hybridMultilevel"/>
    <w:lvl w:ilvl="0" w:tplc="36824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35930">
    <w:abstractNumId w:val="56235930"/>
  </w:num>
  <w:num w:numId="56235931">
    <w:abstractNumId w:val="562359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5053438" Type="http://schemas.microsoft.com/office/2011/relationships/commentsExtended" Target="commentsExtended.xml"/><Relationship Id="rId18706621d725de944" Type="http://schemas.openxmlformats.org/officeDocument/2006/relationships/hyperlink" Target="https://gd.eppo.int/" TargetMode="External"/><Relationship Id="rId14376621d725def26" Type="http://schemas.openxmlformats.org/officeDocument/2006/relationships/hyperlink" Target="https://www.anses.fr/fr/system/files/SVEG2011sa0137Ra.pdf" TargetMode="External"/><Relationship Id="rId79086621d725def84" Type="http://schemas.openxmlformats.org/officeDocument/2006/relationships/hyperlink" Target="http://www.kmetijskizavod-ng.si/priponke/OVR/fitoplazme_slovenia.pdf" TargetMode="External"/><Relationship Id="rId49936621d725defc1" Type="http://schemas.openxmlformats.org/officeDocument/2006/relationships/hyperlink" Target="http://www.efsa.europa.eu/fr/supporting/doc/319e.pdf" TargetMode="External"/><Relationship Id="rId76176621d725deffa" Type="http://schemas.openxmlformats.org/officeDocument/2006/relationships/hyperlink" Target="http://dvrs.bf.uni-lj.si/spvr/2013/17Seljak.pdf" TargetMode="External"/><Relationship Id="rId76306621d725df594" Type="http://schemas.openxmlformats.org/officeDocument/2006/relationships/hyperlink" Target="https://www.anses.fr/fr/system/files/SVEG2011sa0137Ra.pdf" TargetMode="External"/><Relationship Id="rId40136621d725df632" Type="http://schemas.openxmlformats.org/officeDocument/2006/relationships/hyperlink" Target="http://www.efsa.europa.eu/fr/supporting/doc/319e.pdf" TargetMode="External"/><Relationship Id="rId97116621d725dfa2a" Type="http://schemas.openxmlformats.org/officeDocument/2006/relationships/hyperlink" Target="https://www.anses.fr/fr/system/files/SVEG2011sa0137Ra.pdf" TargetMode="External"/><Relationship Id="rId53576621d725dfa90"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