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mali (Apple proliferation mycoplasm) (PHYPMA)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Apple proliferation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Main host plant is the Apple tree (Malus x domestica). All cultivars and rootstocks are potential host plants, including ornamentals and wild plants belonging to the genus Malus (ANSES, 2012). This justifies a listing of host plants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(1993); Croatia (1996); Czech Republic (2013); Finland (2013); France (2011); Germany (2011); Greece (2011); Hungary (2010); Italy (2013); Netherlands (2015); Poland (2015); Romania (1992); Slovakia (1978); Slovenia (2011);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258693654039edf1" w:history="1">
        <w:r>
          <w:rPr>
            <w:color w:val="0200C9"/>
            <w:sz w:val="24"/>
            <w:szCs w:val="24"/>
          </w:rPr>
          <w:t xml:space="preserve">https://gd.eppo.int/</w:t>
        </w:r>
      </w:hyperlink>
      <w:r>
        <w:rPr>
          <w:color w:val="0200C9"/>
          <w:sz w:val="24"/>
          <w:szCs w:val="24"/>
        </w:rPr>
        <w:t xml:space="preserve">). This pest is a candidate for the RNQP status according to the IIA2AWG</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in view of the problematic of vector transmission.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can be an efficient pathway, when propagated from infested plants and depending on the grafting technique (Seemüller et al., 2011). Pathogen concentration and repartition in the trees is fluctuant in space and during the year. In absence of phytosanitary measures, vector transmission is the most important pathway (ANSES, 2012), with vertical transmission of the pathogen through psyllids generations (Mittelberger et al., 2017). Infection by root-bridges are possible but need short distances (&lt;1m) between the infected Malus and the phytoplasma-free Malus to be infected. The infected trees shows altered phloem and metabolic alterations such as hormone synthesis modifications that may influence vector reproduction (Zimmermann et al., 2015 ; Siewert et al., 2014). Transfer from other host in the same place of production is very limited. The plant for planting pathway is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phytoplasma is present in the EU area and the principal factor of impact is the decrease of the fruit size (30% to 60% of mean decrease). Fruits may also have less flavour and and a rolled aspect. In case of high infestations, 30% to 90% of harvested fruits are not marketable anymore. However, impact of the disease can reduce with the time, until sometimes symptoms totally disappear. It is the case in France where its impact on the fruit production is considered as limited (ANSES, 2012). The impact is mostly affected by the local existence of reservoirs and by the size of vector populations. Where CPs does occur, its impact can be significant but shows high yearly fluctuations associated with fluctuations in the population densities of insect vectors and of wild plant reservoirs that cannot be easily controlled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losses in yield and quality on the affected trees, extra costs of harvesting and grading, costs of replanting could be important. While the pathogen and its vector is widely distributed in the EU area the economic losses are considered as medium or low, depending the country/area (Bertaccini et al. 2014; ANSES,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Despite the presence in the EU area of both the phytoplasma and its vectors, the combination of prophylactic measures including the choice of varieties, rootstocks, the use of certified material for both, keeping pre-basic material under insect-proof conditions, removing each symptomatic tree in orchard, the targeted fight against vectors may maintain the infestation under an acceptable level (ANSES, 2012 ; PrimaFacie, 2012). Other disease management strategies focus on vector control, and recent strategies are considering strategies of biocontrol (Bulgari et al., 2014) or the use of suppressive strains (Schneider et al.,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Epidemiological data is lacking on the presence and impact of the proliferation of the disease in all EU regions. However the impact of the pathogen on the production is documented, and the pathogen is widely dispersed throughout EU, with natural hosts present in the environment (M. sylvestris) and wide areas of production of M. communis. The psyllids vectors are aslo widely distributed in EU. Economical impact is likely to be more important on plant production, and several measures are identified to prevent the propagation of the phytoplasma with plant material : using certified/controlled material; measures against the vectors.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'Candidatus Phytoplasma mali';</w:t>
      </w:r>
      <w:r>
        <w:rPr>
          <w:color w:val="0200C9"/>
          <w:sz w:val="24"/>
          <w:szCs w:val="24"/>
        </w:rPr>
        <w:br/>
        <w:t xml:space="preserve">AND</w:t>
      </w:r>
      <w:r>
        <w:rPr>
          <w:color w:val="0200C9"/>
          <w:sz w:val="24"/>
          <w:szCs w:val="24"/>
        </w:rPr>
        <w:br/>
        <w:t xml:space="preserve">(B) (a) Plants produced in areas known to be free from 'Candidatus Phytoplasma mali';</w:t>
      </w:r>
      <w:r>
        <w:rPr>
          <w:color w:val="0200C9"/>
          <w:sz w:val="24"/>
          <w:szCs w:val="24"/>
        </w:rPr>
        <w:br/>
        <w:t xml:space="preserve">or</w:t>
      </w:r>
      <w:r>
        <w:rPr>
          <w:color w:val="0200C9"/>
          <w:sz w:val="24"/>
          <w:szCs w:val="24"/>
        </w:rPr>
        <w:br/>
        <w:t xml:space="preserve">(b) Site of production found free from 'Candidatus Phytoplasma mali'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mali'.</w:t>
      </w:r>
      <w:r>
        <w:rPr>
          <w:color w:val="0200C9"/>
          <w:sz w:val="24"/>
          <w:szCs w:val="24"/>
        </w:rPr>
        <w:br/>
        <w:br/>
        <w:t xml:space="preserve">Pre-basic, Basic and Certified:</w:t>
      </w:r>
      <w:r>
        <w:rPr>
          <w:color w:val="0200C9"/>
          <w:sz w:val="24"/>
          <w:szCs w:val="24"/>
        </w:rPr>
        <w:br/>
        <w:t xml:space="preserve">Additional measures could include</w:t>
      </w:r>
      <w:r>
        <w:rPr>
          <w:color w:val="0200C9"/>
          <w:sz w:val="24"/>
          <w:szCs w:val="24"/>
        </w:rPr>
        <w:br/>
        <w:t xml:space="preserve">• Cultivation under insect-proof conditions (pre-basic);</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5 years;</w:t>
      </w:r>
      <w:r>
        <w:rPr>
          <w:color w:val="0200C9"/>
          <w:sz w:val="24"/>
          <w:szCs w:val="24"/>
        </w:rPr>
        <w:br/>
        <w:t xml:space="preserve">• More testing in case of finding of an infection, including testing of all mother plants in the production site;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considered that visual examination of the mother plant was sufficient (no support for testing of the mother plants, as symptoms on mother plants are considered to be easily seen).</w:t>
      </w:r>
      <w:r>
        <w:rPr>
          <w:color w:val="0200C9"/>
          <w:sz w:val="24"/>
          <w:szCs w:val="24"/>
        </w:rPr>
        <w:br/>
        <w:t xml:space="preserve">Later the coreHEWGplus discussed the ratio cost/benefit of a more systematic testing of CAC mother plants: This would allow detection of asymptomatic plants. However, this was counterbalanced by the difficulty of testing (testing of the roots would be more reliable, but not practical) and by the risk of reinfestation in case of high vector pressure. No consensus was reached within the core-HEWGplus on the added value of such a more systematic testing, in the context of the RNQP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3714693654039f33c"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Bertaccini A, Duduk B, Paltrinieri S &amp; Contaldo N (2014) Phytoplasmas and phytoplasma diseases: a severe threat to agriculture. American Journal of Plant Sciences, 2014;</w:t>
      </w:r>
    </w:p>
    <w:p>
      <w:pPr>
        <w:numPr>
          <w:ilvl w:val="0"/>
          <w:numId w:val="1"/>
        </w:numPr>
        <w:spacing w:before="0" w:after="0" w:line="240" w:lineRule="auto"/>
        <w:jc w:val="left"/>
        <w:rPr>
          <w:color w:val="0200C9"/>
          <w:sz w:val="24"/>
          <w:szCs w:val="24"/>
        </w:rPr>
      </w:pPr>
      <w:r>
        <w:rPr>
          <w:color w:val="0200C9"/>
          <w:sz w:val="24"/>
          <w:szCs w:val="24"/>
        </w:rPr>
        <w:t xml:space="preserve">Bulgari D, Casati P, Quaglino F &amp; Bianco P A (2014) Isolation of potential biocontrol agents of ‘Candidatus Phytoplasma mali’. Phytoplasmas and phytoplasma disease management: how to reduce their economic impact. International Phytoplasmologist Working Group. Food and Agriculture COST Action FA0807, 226. Available at: </w:t>
      </w:r>
      <w:hyperlink r:id="rId7959693654039f386" w:history="1">
        <w:r>
          <w:rPr>
            <w:color w:val="0200C9"/>
            <w:sz w:val="24"/>
            <w:szCs w:val="24"/>
          </w:rPr>
          <w:t xml:space="preserve">http://www.cost.eu/download/FAP_FA0807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mali [Apple Proliferation Mycoplasm];</w:t>
      </w:r>
    </w:p>
    <w:p>
      <w:pPr>
        <w:numPr>
          <w:ilvl w:val="0"/>
          <w:numId w:val="1"/>
        </w:numPr>
        <w:spacing w:before="0" w:after="0" w:line="240" w:lineRule="auto"/>
        <w:jc w:val="left"/>
        <w:rPr>
          <w:color w:val="0200C9"/>
          <w:sz w:val="24"/>
          <w:szCs w:val="24"/>
        </w:rPr>
      </w:pPr>
      <w:r>
        <w:rPr>
          <w:color w:val="0200C9"/>
          <w:sz w:val="24"/>
          <w:szCs w:val="24"/>
        </w:rPr>
        <w:t xml:space="preserve">Mittelberger C, Obkircher L, Oettl S, Oppedisano T, Pedrazzoli F, Panassiti B, Kerschbamer C, Anfora G &amp; Janik K (2017) The insect vector Cacopsylla picta vertically transmits the bacterium ‘Candidatus Phytoplasma mali’ to its progeny. Plant Pathology.</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3182693654039f3e0"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Schneider B, Sule S, Jelkmann W &amp; Seemüller E (2014) Suppression of aggressive strains of ‘Candidatus phytoplasma mali’by mild strains in Catharanthus roseus and Nicotiana occidentalis and indication of similar action in apple trees. Phytopathology, 104, 453-461;</w:t>
      </w:r>
    </w:p>
    <w:p>
      <w:pPr>
        <w:numPr>
          <w:ilvl w:val="0"/>
          <w:numId w:val="1"/>
        </w:numPr>
        <w:spacing w:before="0" w:after="0" w:line="240" w:lineRule="auto"/>
        <w:jc w:val="left"/>
        <w:rPr>
          <w:color w:val="0200C9"/>
          <w:sz w:val="24"/>
          <w:szCs w:val="24"/>
        </w:rPr>
      </w:pPr>
      <w:r>
        <w:rPr>
          <w:color w:val="0200C9"/>
          <w:sz w:val="24"/>
          <w:szCs w:val="24"/>
        </w:rPr>
        <w:t xml:space="preserve">Seemüller E, Carraro L, Jarausch W &amp; Schneider B (2011) Apple proliferation phytoplasma. In: Virus and Virus-Like Disease of Pome and Stone Fruits. Edited</w:t>
      </w:r>
    </w:p>
    <w:p>
      <w:pPr>
        <w:numPr>
          <w:ilvl w:val="0"/>
          <w:numId w:val="1"/>
        </w:numPr>
        <w:spacing w:before="0" w:after="0" w:line="240" w:lineRule="auto"/>
        <w:jc w:val="left"/>
        <w:rPr>
          <w:color w:val="0200C9"/>
          <w:sz w:val="24"/>
          <w:szCs w:val="24"/>
        </w:rPr>
      </w:pPr>
      <w:r>
        <w:rPr>
          <w:color w:val="0200C9"/>
          <w:sz w:val="24"/>
          <w:szCs w:val="24"/>
        </w:rPr>
        <w:t xml:space="preserve">by Hadidi A, Barba M, Candresse T and Jelkman W, p. 67-73;</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in view of the problematic of vector transmission.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can be a very efficient pathway, when propagated from infested plants. Vector transmission is also a pathway but it is considered less efficient than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information on impacts on ornamental Malus. Remark: There are reports of other ornamental plants being infected by this pathogen, e.g. Magnolia liliiflora (Kaminska &amp; Sliwa, 2003), rose (Kaminska &amp; Sliwa, 2004), dahlia, lilies (Kaminska &amp; Sliwa, 2008a,b). There are no data on economic impact on these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probably no economic impact for the ornamental use. However ornamental plants may be produced at the same place of production than plants for the fruit production. It may be necessary to take measures on ornamental plants, in view of the risk they pose to the fruit sector (Celetti,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of possible indirect economic impacts for the fruit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symptoms of 'Candidatus Phytoplasma mali';</w:t>
      </w:r>
      <w:r>
        <w:rPr>
          <w:color w:val="0200C9"/>
          <w:sz w:val="24"/>
          <w:szCs w:val="24"/>
        </w:rPr>
        <w:br/>
        <w:t xml:space="preserve">AND</w:t>
      </w:r>
      <w:r>
        <w:rPr>
          <w:color w:val="0200C9"/>
          <w:sz w:val="24"/>
          <w:szCs w:val="24"/>
        </w:rPr>
        <w:br/>
        <w:t xml:space="preserve">(B) (a) Plants produced in areas known to be free from 'Candidatus Phytoplasma mali';</w:t>
      </w:r>
      <w:r>
        <w:rPr>
          <w:color w:val="0200C9"/>
          <w:sz w:val="24"/>
          <w:szCs w:val="24"/>
        </w:rPr>
        <w:br/>
        <w:t xml:space="preserve">or</w:t>
      </w:r>
      <w:r>
        <w:rPr>
          <w:color w:val="0200C9"/>
          <w:sz w:val="24"/>
          <w:szCs w:val="24"/>
        </w:rPr>
        <w:br/>
        <w:t xml:space="preserve">(b) Site of production found free from 'Candidatus Phytoplasma mali'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mali'.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measures from the fruit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2516693654039f97e"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Celetti M (2013) Apple Proliferation Disease. Orchard Network. Ontario Ministry of Agriculture, Food and Rural Affairs. Available from: </w:t>
      </w:r>
      <w:hyperlink r:id="rId5529693654039f9ad" w:history="1">
        <w:r>
          <w:rPr>
            <w:color w:val="0200C9"/>
            <w:sz w:val="24"/>
            <w:szCs w:val="24"/>
          </w:rPr>
          <w:t xml:space="preserve">http://www.omafra.gov.on.ca/english/crops/hort/news/orchnews/2013/on-0413a9.htm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mali [Apple Proliferation Mycoplasm];</w:t>
      </w:r>
    </w:p>
    <w:p>
      <w:pPr>
        <w:numPr>
          <w:ilvl w:val="0"/>
          <w:numId w:val="1"/>
        </w:numPr>
        <w:spacing w:before="0" w:after="0" w:line="240" w:lineRule="auto"/>
        <w:jc w:val="left"/>
        <w:rPr>
          <w:color w:val="0200C9"/>
          <w:sz w:val="24"/>
          <w:szCs w:val="24"/>
        </w:rPr>
      </w:pPr>
      <w:r>
        <w:rPr>
          <w:color w:val="0200C9"/>
          <w:sz w:val="24"/>
          <w:szCs w:val="24"/>
        </w:rPr>
        <w:t xml:space="preserve">Kaminska M &amp; Sliwa H (2003) Effect of antibiotics on the symptoms of stunting disease of Magnolia liliiflora plants. Journal of Phytopathology, 151:59-63;</w:t>
      </w:r>
    </w:p>
    <w:p>
      <w:pPr>
        <w:numPr>
          <w:ilvl w:val="0"/>
          <w:numId w:val="1"/>
        </w:numPr>
        <w:spacing w:before="0" w:after="0" w:line="240" w:lineRule="auto"/>
        <w:jc w:val="left"/>
        <w:rPr>
          <w:color w:val="0200C9"/>
          <w:sz w:val="24"/>
          <w:szCs w:val="24"/>
        </w:rPr>
      </w:pPr>
      <w:r>
        <w:rPr>
          <w:color w:val="0200C9"/>
          <w:sz w:val="24"/>
          <w:szCs w:val="24"/>
        </w:rPr>
        <w:t xml:space="preserve">Kaminska M &amp; Sliwa H (2004) First report of phytoplasma belonging to apple proliferation group in roses in Poland. Plant Disease, 88:1283;</w:t>
      </w:r>
    </w:p>
    <w:p>
      <w:pPr>
        <w:numPr>
          <w:ilvl w:val="0"/>
          <w:numId w:val="1"/>
        </w:numPr>
        <w:spacing w:before="0" w:after="0" w:line="240" w:lineRule="auto"/>
        <w:jc w:val="left"/>
        <w:rPr>
          <w:color w:val="0200C9"/>
          <w:sz w:val="24"/>
          <w:szCs w:val="24"/>
        </w:rPr>
      </w:pPr>
      <w:r>
        <w:rPr>
          <w:color w:val="0200C9"/>
          <w:sz w:val="24"/>
          <w:szCs w:val="24"/>
        </w:rPr>
        <w:t xml:space="preserve">Kaminska M &amp; Sliwa H (2008a) Mixed infection of dahlia plants in Poland with apple proliferation and aster yellows phytoplasmas. Plant Pathology, 57:363;</w:t>
      </w:r>
    </w:p>
    <w:p>
      <w:pPr>
        <w:numPr>
          <w:ilvl w:val="0"/>
          <w:numId w:val="1"/>
        </w:numPr>
        <w:spacing w:before="0" w:after="0" w:line="240" w:lineRule="auto"/>
        <w:jc w:val="left"/>
        <w:rPr>
          <w:color w:val="0200C9"/>
          <w:sz w:val="24"/>
          <w:szCs w:val="24"/>
        </w:rPr>
      </w:pPr>
      <w:r>
        <w:rPr>
          <w:color w:val="0200C9"/>
          <w:sz w:val="24"/>
          <w:szCs w:val="24"/>
        </w:rPr>
        <w:t xml:space="preserve">Kaminska M &amp; Sliwa H (2008b) First report of ‘Candidatus Phytoplasma mali’ in oriental lilies and its association with leaf scorch in Poland, Plant Pathology, 57:363;</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3140693654039fa43"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124879">
    <w:multiLevelType w:val="hybridMultilevel"/>
    <w:lvl w:ilvl="0" w:tplc="52881718">
      <w:start w:val="1"/>
      <w:numFmt w:val="decimal"/>
      <w:lvlText w:val="%1."/>
      <w:lvlJc w:val="left"/>
      <w:pPr>
        <w:ind w:left="720" w:hanging="360"/>
      </w:pPr>
    </w:lvl>
    <w:lvl w:ilvl="1" w:tplc="52881718" w:tentative="1">
      <w:start w:val="1"/>
      <w:numFmt w:val="lowerLetter"/>
      <w:lvlText w:val="%2."/>
      <w:lvlJc w:val="left"/>
      <w:pPr>
        <w:ind w:left="1440" w:hanging="360"/>
      </w:pPr>
    </w:lvl>
    <w:lvl w:ilvl="2" w:tplc="52881718" w:tentative="1">
      <w:start w:val="1"/>
      <w:numFmt w:val="lowerRoman"/>
      <w:lvlText w:val="%3."/>
      <w:lvlJc w:val="right"/>
      <w:pPr>
        <w:ind w:left="2160" w:hanging="180"/>
      </w:pPr>
    </w:lvl>
    <w:lvl w:ilvl="3" w:tplc="52881718" w:tentative="1">
      <w:start w:val="1"/>
      <w:numFmt w:val="decimal"/>
      <w:lvlText w:val="%4."/>
      <w:lvlJc w:val="left"/>
      <w:pPr>
        <w:ind w:left="2880" w:hanging="360"/>
      </w:pPr>
    </w:lvl>
    <w:lvl w:ilvl="4" w:tplc="52881718" w:tentative="1">
      <w:start w:val="1"/>
      <w:numFmt w:val="lowerLetter"/>
      <w:lvlText w:val="%5."/>
      <w:lvlJc w:val="left"/>
      <w:pPr>
        <w:ind w:left="3600" w:hanging="360"/>
      </w:pPr>
    </w:lvl>
    <w:lvl w:ilvl="5" w:tplc="52881718" w:tentative="1">
      <w:start w:val="1"/>
      <w:numFmt w:val="lowerRoman"/>
      <w:lvlText w:val="%6."/>
      <w:lvlJc w:val="right"/>
      <w:pPr>
        <w:ind w:left="4320" w:hanging="180"/>
      </w:pPr>
    </w:lvl>
    <w:lvl w:ilvl="6" w:tplc="52881718" w:tentative="1">
      <w:start w:val="1"/>
      <w:numFmt w:val="decimal"/>
      <w:lvlText w:val="%7."/>
      <w:lvlJc w:val="left"/>
      <w:pPr>
        <w:ind w:left="5040" w:hanging="360"/>
      </w:pPr>
    </w:lvl>
    <w:lvl w:ilvl="7" w:tplc="52881718" w:tentative="1">
      <w:start w:val="1"/>
      <w:numFmt w:val="lowerLetter"/>
      <w:lvlText w:val="%8."/>
      <w:lvlJc w:val="left"/>
      <w:pPr>
        <w:ind w:left="5760" w:hanging="360"/>
      </w:pPr>
    </w:lvl>
    <w:lvl w:ilvl="8" w:tplc="52881718" w:tentative="1">
      <w:start w:val="1"/>
      <w:numFmt w:val="lowerRoman"/>
      <w:lvlText w:val="%9."/>
      <w:lvlJc w:val="right"/>
      <w:pPr>
        <w:ind w:left="6480" w:hanging="180"/>
      </w:pPr>
    </w:lvl>
  </w:abstractNum>
  <w:abstractNum w:abstractNumId="78124878">
    <w:multiLevelType w:val="hybridMultilevel"/>
    <w:lvl w:ilvl="0" w:tplc="139544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124878">
    <w:abstractNumId w:val="78124878"/>
  </w:num>
  <w:num w:numId="78124879">
    <w:abstractNumId w:val="781248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4615135" Type="http://schemas.microsoft.com/office/2011/relationships/commentsExtended" Target="commentsExtended.xml"/><Relationship Id="rId1258693654039edf1" Type="http://schemas.openxmlformats.org/officeDocument/2006/relationships/hyperlink" Target="https://gd.eppo.int/" TargetMode="External"/><Relationship Id="rId3714693654039f33c" Type="http://schemas.openxmlformats.org/officeDocument/2006/relationships/hyperlink" Target="https://www.anses.fr/fr/system/files/SVEG2011sa0137Ra.pdf" TargetMode="External"/><Relationship Id="rId7959693654039f386" Type="http://schemas.openxmlformats.org/officeDocument/2006/relationships/hyperlink" Target="http://www.cost.eu/download/FAP_FA0807" TargetMode="External"/><Relationship Id="rId3182693654039f3e0" Type="http://schemas.openxmlformats.org/officeDocument/2006/relationships/hyperlink" Target="http://www.efsa.europa.eu/fr/supporting/doc/319e.pdf" TargetMode="External"/><Relationship Id="rId2516693654039f97e" Type="http://schemas.openxmlformats.org/officeDocument/2006/relationships/hyperlink" Target="https://www.anses.fr/fr/system/files/SVEG2011sa0137Ra.pdf" TargetMode="External"/><Relationship Id="rId5529693654039f9ad" Type="http://schemas.openxmlformats.org/officeDocument/2006/relationships/hyperlink" Target="http://www.omafra.gov.on.ca/english/crops/hort/news/orchnews/2013/on-0413a9.htm" TargetMode="External"/><Relationship Id="rId3140693654039fa43"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