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mali (Apple proliferation mycoplasm) PHYPMA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proliferation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Main host plant is the Apple tree (Malus x domestica). All cultivars and rootstocks are potential host plants, including ornamentals and wild plants belonging to the genus Malus (ANSES, 2012). This justifies a listing of host plants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(1993); Croatia (1996); Czech Republic (2013); Finland (2013); France (2011); Germany (2011); Greece (2011); Hungary (2010); Italy (2013); Netherlands (2015); Poland (2015); Romania (1992); Slovakia (1978); Slovenia (2011);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416a7028c66e9e9"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in view of the problematic of vector transmission.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an efficient pathway, when propagated from infested plants and depending on the grafting technique (Seemüller et al., 2011). Pathogen concentration and repartition in the trees is fluctuant in space and during the year. In absence of phytosanitary measures, vector transmission is the most important pathway (ANSES, 2012), with vertical transmission of the pathogen through psyllids generations (Mittelberger et al., 2017). Infection by root-bridges are possible but need short distances (&lt;1m) between the infected Malus and the phytoplasma-free Malus to be infected. The infected trees shows altered phloem and metabolic alterations such as hormone synthesis modifications that may influence vector reproduction (Zimmermann et al., 2015 ; Siewert et al., 2014). Transfer from other host in the same place of production is very limited. The plant for planting pathway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and the principal factor of impact is the decrease of the fruit size (30% to 60% of mean decrease). Fruits may also have less flavour and and a rolled aspect. In case of high infestations, 30% to 90% of harvested fruits are not marketable anymore. However, impact of the disease can reduce with the time, until sometimes symptoms totally disappear. It is the case in France where its impact on the fruit production is considered as limited (ANSES, 2012). The impact is mostly affected by the local existence of reservoirs and by the size of vector populations. Where CPs does occur, its impact can be significant but shows high yearly fluctuations associated with fluctuations in the population densities of insect vectors and of wild plant reservoirs that cannot be easily controlled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in yield and quality on the affected trees, extra costs of harvesting and grading, costs of replanting could be important. While the pathogen and its vector is widely distributed in the EU area the economic losses are considered as medium or low, depending the country/area (Bertaccini et al. 2014; ANSES,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Despite the presence in the EU area of both the phytoplasma and its vectors, the combination of prophylactic measures including the choice of varieties, rootstocks, the use of certified material for both, keeping pre-basic material under insect-proof conditions, removing each symptomatic tree in orchard, the targeted fight against vectors may maintain the infestation under an acceptable level (ANSES, 2012 ; PrimaFacie, 2012). Other disease management strategies focus on vector control, and recent strategies are considering strategies of biocontrol (Bulgari et al., 2014) or the use of suppressive strains (Schneider et al.,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the proliferation of the disease in all EU regions. However the impact of the pathogen on the production is documented, and the pathogen is widely dispersed throughout EU, with natural hosts present in the environment (M. sylvestris) and wide areas of production of M. communis. The psyllids vectors are aslo widely distributed in EU. Economical impact is likely to be more important on plant production, and several measures are identified to prevent the propagation of the phytoplasma with plant material : using certified/controlled material; measures against the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considered that visual examination of the mother plant was sufficient (no support for testing of the mother plants, as symptoms on mother plants are considered to be easily seen).</w:t>
      </w:r>
      <w:r>
        <w:rPr>
          <w:color w:val="0200C9"/>
          <w:sz w:val="24"/>
          <w:szCs w:val="24"/>
        </w:rPr>
        <w:br/>
        <w:t xml:space="preserve">Later the coreHEWGplus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98366a7028c66ef96"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2014;</w:t>
      </w:r>
    </w:p>
    <w:p>
      <w:pPr>
        <w:numPr>
          <w:ilvl w:val="0"/>
          <w:numId w:val="1"/>
        </w:numPr>
        <w:spacing w:before="0" w:after="0" w:line="240" w:lineRule="auto"/>
        <w:jc w:val="left"/>
        <w:rPr>
          <w:color w:val="0200C9"/>
          <w:sz w:val="24"/>
          <w:szCs w:val="24"/>
        </w:rPr>
      </w:pPr>
      <w:r>
        <w:rPr>
          <w:color w:val="0200C9"/>
          <w:sz w:val="24"/>
          <w:szCs w:val="24"/>
        </w:rPr>
        <w:t xml:space="preserve">Bulgari D, Casati P, Quaglino F &amp; Bianco P A (2014) Isolation of potential biocontrol agents of ‘Candidatus Phytoplasma mali’. Phytoplasmas and phytoplasma disease management: how to reduce their economic impact. International Phytoplasmologist Working Group. Food and Agriculture COST Action FA0807, 226. Available at: </w:t>
      </w:r>
      <w:hyperlink r:id="rId44866a7028c66efe2" w:history="1">
        <w:r>
          <w:rPr>
            <w:color w:val="0200C9"/>
            <w:sz w:val="24"/>
            <w:szCs w:val="24"/>
          </w:rPr>
          <w:t xml:space="preserve">http://www.cost.eu/download/FAP_FA0807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Mittelberger C, Obkircher L, Oettl S, Oppedisano T, Pedrazzoli F, Panassiti B, Kerschbamer C, Anfora G &amp; Janik K (2017) The insect vector Cacopsylla picta vertically transmits the bacterium ‘Candidatus Phytoplasma mali’ to its progeny. Plant Pathology.</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3866a7028c66f040"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Schneider B, Sule S, Jelkmann W &amp; Seemüller E (2014) Suppression of aggressive strains of ‘Candidatus phytoplasma mali’by mild strains in Catharanthus roseus and Nicotiana occidentalis and indication of similar action in apple trees. Phytopathology, 104, 453-461;</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 of Pome and Stone Fruits. Edited</w:t>
      </w:r>
    </w:p>
    <w:p>
      <w:pPr>
        <w:numPr>
          <w:ilvl w:val="0"/>
          <w:numId w:val="1"/>
        </w:numPr>
        <w:spacing w:before="0" w:after="0" w:line="240" w:lineRule="auto"/>
        <w:jc w:val="left"/>
        <w:rPr>
          <w:color w:val="0200C9"/>
          <w:sz w:val="24"/>
          <w:szCs w:val="24"/>
        </w:rPr>
      </w:pPr>
      <w:r>
        <w:rPr>
          <w:color w:val="0200C9"/>
          <w:sz w:val="24"/>
          <w:szCs w:val="24"/>
        </w:rPr>
        <w:t xml:space="preserve">by Hadidi A, Barba M, Candresse T and Jelkman W, p. 67-73;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in view of the problematic of vector transmission.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on impacts on ornamental Malus. Remark: There are reports of other ornamental plants being infected by this pathogen, e.g. Magnolia liliiflora (Kaminska &amp; Sliwa, 2003), rose (Kaminska &amp; Sliwa, 2004), dahlia, lilies (Kaminska &amp; Sliwa, 2008a,b). There are no data on economic impact on these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It may be necessary to take measures on ornamental plants, in view of the risk they pose to the fruit sector (Celetti,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of possible indirect economic impacts for the fruit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44856a7028c66f561"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Celetti M (2013) Apple Proliferation Disease. Orchard Network. Ontario Ministry of Agriculture, Food and Rural Affairs. Available from: </w:t>
      </w:r>
      <w:hyperlink r:id="rId13416a7028c66f591" w:history="1">
        <w:r>
          <w:rPr>
            <w:color w:val="0200C9"/>
            <w:sz w:val="24"/>
            <w:szCs w:val="24"/>
          </w:rPr>
          <w:t xml:space="preserve">http://www.omafra.gov.on.ca/english/crops/hort/news/orchnews/2013/on-0413a9.htm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Kaminska M &amp; Sliwa H (2003) Effect of antibiotics on the symptoms of stunting disease of Magnolia liliiflora plants. Journal of Phytopathology, 151:59-63;</w:t>
      </w:r>
    </w:p>
    <w:p>
      <w:pPr>
        <w:numPr>
          <w:ilvl w:val="0"/>
          <w:numId w:val="1"/>
        </w:numPr>
        <w:spacing w:before="0" w:after="0" w:line="240" w:lineRule="auto"/>
        <w:jc w:val="left"/>
        <w:rPr>
          <w:color w:val="0200C9"/>
          <w:sz w:val="24"/>
          <w:szCs w:val="24"/>
        </w:rPr>
      </w:pPr>
      <w:r>
        <w:rPr>
          <w:color w:val="0200C9"/>
          <w:sz w:val="24"/>
          <w:szCs w:val="24"/>
        </w:rPr>
        <w:t xml:space="preserve">Kaminska M &amp; Sliwa H (2004) First report of phytoplasma belonging to apple proliferation group in roses in Poland. Plant Disease, 88:1283;</w:t>
      </w:r>
    </w:p>
    <w:p>
      <w:pPr>
        <w:numPr>
          <w:ilvl w:val="0"/>
          <w:numId w:val="1"/>
        </w:numPr>
        <w:spacing w:before="0" w:after="0" w:line="240" w:lineRule="auto"/>
        <w:jc w:val="left"/>
        <w:rPr>
          <w:color w:val="0200C9"/>
          <w:sz w:val="24"/>
          <w:szCs w:val="24"/>
        </w:rPr>
      </w:pPr>
      <w:r>
        <w:rPr>
          <w:color w:val="0200C9"/>
          <w:sz w:val="24"/>
          <w:szCs w:val="24"/>
        </w:rPr>
        <w:t xml:space="preserve">Kaminska M &amp; Sliwa H (2008a) Mixed infection of dahlia plants in Poland with apple proliferation and aster yellows phytoplasmas. Plant Pathology, 57:363;</w:t>
      </w:r>
    </w:p>
    <w:p>
      <w:pPr>
        <w:numPr>
          <w:ilvl w:val="0"/>
          <w:numId w:val="1"/>
        </w:numPr>
        <w:spacing w:before="0" w:after="0" w:line="240" w:lineRule="auto"/>
        <w:jc w:val="left"/>
        <w:rPr>
          <w:color w:val="0200C9"/>
          <w:sz w:val="24"/>
          <w:szCs w:val="24"/>
        </w:rPr>
      </w:pPr>
      <w:r>
        <w:rPr>
          <w:color w:val="0200C9"/>
          <w:sz w:val="24"/>
          <w:szCs w:val="24"/>
        </w:rPr>
        <w:t xml:space="preserve">Kaminska M &amp; Sliwa H (2008b) First report of ‘Candidatus Phytoplasma mali’ in oriental lilies and its association with leaf scorch in Poland, Plant Pathology, 57:363;</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85106a7028c66f626"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643746">
    <w:multiLevelType w:val="hybridMultilevel"/>
    <w:lvl w:ilvl="0" w:tplc="60351731">
      <w:start w:val="1"/>
      <w:numFmt w:val="decimal"/>
      <w:lvlText w:val="%1."/>
      <w:lvlJc w:val="left"/>
      <w:pPr>
        <w:ind w:left="720" w:hanging="360"/>
      </w:pPr>
    </w:lvl>
    <w:lvl w:ilvl="1" w:tplc="60351731" w:tentative="1">
      <w:start w:val="1"/>
      <w:numFmt w:val="lowerLetter"/>
      <w:lvlText w:val="%2."/>
      <w:lvlJc w:val="left"/>
      <w:pPr>
        <w:ind w:left="1440" w:hanging="360"/>
      </w:pPr>
    </w:lvl>
    <w:lvl w:ilvl="2" w:tplc="60351731" w:tentative="1">
      <w:start w:val="1"/>
      <w:numFmt w:val="lowerRoman"/>
      <w:lvlText w:val="%3."/>
      <w:lvlJc w:val="right"/>
      <w:pPr>
        <w:ind w:left="2160" w:hanging="180"/>
      </w:pPr>
    </w:lvl>
    <w:lvl w:ilvl="3" w:tplc="60351731" w:tentative="1">
      <w:start w:val="1"/>
      <w:numFmt w:val="decimal"/>
      <w:lvlText w:val="%4."/>
      <w:lvlJc w:val="left"/>
      <w:pPr>
        <w:ind w:left="2880" w:hanging="360"/>
      </w:pPr>
    </w:lvl>
    <w:lvl w:ilvl="4" w:tplc="60351731" w:tentative="1">
      <w:start w:val="1"/>
      <w:numFmt w:val="lowerLetter"/>
      <w:lvlText w:val="%5."/>
      <w:lvlJc w:val="left"/>
      <w:pPr>
        <w:ind w:left="3600" w:hanging="360"/>
      </w:pPr>
    </w:lvl>
    <w:lvl w:ilvl="5" w:tplc="60351731" w:tentative="1">
      <w:start w:val="1"/>
      <w:numFmt w:val="lowerRoman"/>
      <w:lvlText w:val="%6."/>
      <w:lvlJc w:val="right"/>
      <w:pPr>
        <w:ind w:left="4320" w:hanging="180"/>
      </w:pPr>
    </w:lvl>
    <w:lvl w:ilvl="6" w:tplc="60351731" w:tentative="1">
      <w:start w:val="1"/>
      <w:numFmt w:val="decimal"/>
      <w:lvlText w:val="%7."/>
      <w:lvlJc w:val="left"/>
      <w:pPr>
        <w:ind w:left="5040" w:hanging="360"/>
      </w:pPr>
    </w:lvl>
    <w:lvl w:ilvl="7" w:tplc="60351731" w:tentative="1">
      <w:start w:val="1"/>
      <w:numFmt w:val="lowerLetter"/>
      <w:lvlText w:val="%8."/>
      <w:lvlJc w:val="left"/>
      <w:pPr>
        <w:ind w:left="5760" w:hanging="360"/>
      </w:pPr>
    </w:lvl>
    <w:lvl w:ilvl="8" w:tplc="60351731" w:tentative="1">
      <w:start w:val="1"/>
      <w:numFmt w:val="lowerRoman"/>
      <w:lvlText w:val="%9."/>
      <w:lvlJc w:val="right"/>
      <w:pPr>
        <w:ind w:left="6480" w:hanging="180"/>
      </w:pPr>
    </w:lvl>
  </w:abstractNum>
  <w:abstractNum w:abstractNumId="91643745">
    <w:multiLevelType w:val="hybridMultilevel"/>
    <w:lvl w:ilvl="0" w:tplc="809551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643745">
    <w:abstractNumId w:val="91643745"/>
  </w:num>
  <w:num w:numId="91643746">
    <w:abstractNumId w:val="916437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3727288" Type="http://schemas.microsoft.com/office/2011/relationships/commentsExtended" Target="commentsExtended.xml"/><Relationship Id="rId30416a7028c66e9e9" Type="http://schemas.openxmlformats.org/officeDocument/2006/relationships/hyperlink" Target="https://gd.eppo.int/" TargetMode="External"/><Relationship Id="rId98366a7028c66ef96" Type="http://schemas.openxmlformats.org/officeDocument/2006/relationships/hyperlink" Target="https://www.anses.fr/fr/system/files/SVEG2011sa0137Ra.pdf" TargetMode="External"/><Relationship Id="rId44866a7028c66efe2" Type="http://schemas.openxmlformats.org/officeDocument/2006/relationships/hyperlink" Target="http://www.cost.eu/download/FAP_FA0807" TargetMode="External"/><Relationship Id="rId23866a7028c66f040" Type="http://schemas.openxmlformats.org/officeDocument/2006/relationships/hyperlink" Target="http://www.efsa.europa.eu/fr/supporting/doc/319e.pdf" TargetMode="External"/><Relationship Id="rId44856a7028c66f561" Type="http://schemas.openxmlformats.org/officeDocument/2006/relationships/hyperlink" Target="https://www.anses.fr/fr/system/files/SVEG2011sa0137Ra.pdf" TargetMode="External"/><Relationship Id="rId13416a7028c66f591" Type="http://schemas.openxmlformats.org/officeDocument/2006/relationships/hyperlink" Target="http://www.omafra.gov.on.ca/english/crops/hort/news/orchnews/2013/on-0413a9.htm" TargetMode="External"/><Relationship Id="rId85106a7028c66f626"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