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Default Extension="gif" ContentType="image/gif"> </Default>
  <Default Extension="jpg" ContentType="image/jpg"> </Default>
  <Default Extension="png" ContentType="image/png"> </Default>
  <Default Extension="jpeg" ContentType="image/jpeg"> </Default>
  <Default Extension="bmp" ContentType="image/bmp"> </Default>
  <Override PartName="/word/commentsExtended.xml" ContentType="application/vnd.openxmlformats-officedocument.wordprocessingml.commentsExtended+xml"/>
</Types>
</file>

<file path=_rels/.rels><?xml version="1.0" encoding="UTF-8" standalone="yes"?><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widowControl w:val="on"/>
        <w:pBdr/>
        <w:spacing w:before="0" w:after="0" w:line="240" w:lineRule="auto"/>
        <w:ind w:left="0" w:right="0"/>
        <w:jc w:val="left"/>
        <w:outlineLvl w:val="1"/>
      </w:pPr>
      <w:r>
        <w:rPr>
          <w:color w:val="000000"/>
          <w:sz w:val="24"/>
          <w:szCs w:val="24"/>
        </w:rPr>
        <w:t xml:space="preserve">NAME OF THE ORGANISM: </w:t>
      </w:r>
      <w:r>
        <w:rPr>
          <w:color w:val="861012"/>
          <w:sz w:val="24"/>
          <w:szCs w:val="24"/>
        </w:rPr>
        <w:t xml:space="preserve">Boeremia exigua var. linicola (Phoma exigua var. linicola) (PHOMEL)</w:t>
      </w:r>
    </w:p>
    <w:p/>
    <w:p>
      <w:pPr>
        <w:widowControl w:val="on"/>
        <w:pBdr/>
        <w:spacing w:before="0" w:after="0" w:line="240" w:lineRule="auto"/>
        <w:ind w:left="0" w:right="0"/>
        <w:jc w:val="left"/>
        <w:outlineLvl w:val="3"/>
      </w:pPr>
      <w:r>
        <w:rPr>
          <w:color w:val="000000"/>
          <w:sz w:val="24"/>
          <w:szCs w:val="24"/>
        </w:rPr>
        <w:t xml:space="preserve">GENERAL INFORMATION ON THE PEST</w:t>
      </w:r>
    </w:p>
    <w:p>
      <w:pPr>
        <w:widowControl w:val="on"/>
        <w:pBdr/>
        <w:spacing w:before="0" w:after="0" w:line="240" w:lineRule="auto"/>
        <w:ind w:left="0" w:right="0"/>
        <w:jc w:val="left"/>
      </w:pPr>
      <w:r>
        <w:rPr>
          <w:color w:val="000000"/>
          <w:sz w:val="24"/>
          <w:szCs w:val="24"/>
          <w:u w:val="single"/>
        </w:rPr>
        <w:t xml:space="preserve">Name as submitted in the project specification (if different to the preferred name):</w:t>
      </w:r>
      <w:r>
        <w:rPr>
          <w:color w:val="000000"/>
          <w:sz w:val="24"/>
          <w:szCs w:val="24"/>
        </w:rPr>
        <w:t xml:space="preserve">
</w:t>
      </w:r>
      <w:r>
        <w:rPr>
          <w:color w:val="000000"/>
          <w:sz w:val="24"/>
          <w:szCs w:val="24"/>
          <w:u w:val="single"/>
        </w:rPr>
        <w:br/>
        <w:t xml:space="preserve">Pest category:</w:t>
      </w:r>
      <w:r>
        <w:rPr>
          <w:color w:val="000000"/>
          <w:sz w:val="24"/>
          <w:szCs w:val="24"/>
        </w:rPr>
        <w:t xml:space="preserve">
</w:t>
      </w:r>
      <w:r>
        <w:rPr>
          <w:color w:val="0200C9"/>
          <w:sz w:val="24"/>
          <w:szCs w:val="24"/>
        </w:rPr>
        <w:t xml:space="preserve">Fungi</w:t>
      </w:r>
      <w:r>
        <w:rPr>
          <w:b/>
          <w:bCs/>
          <w:color w:val="000000"/>
          <w:sz w:val="24"/>
          <w:szCs w:val="24"/>
          <w:u w:val="single"/>
        </w:rPr>
        <w:br/>
        <w:br/>
        <w:t xml:space="preserve">1- Identity of the pest/Level of taxonomic listing:</w:t>
      </w:r>
      <w:r>
        <w:rPr>
          <w:color w:val="000000"/>
          <w:sz w:val="24"/>
          <w:szCs w:val="24"/>
          <w:u w:val="single"/>
        </w:rPr>
        <w:br/>
        <w:t xml:space="preserve">Is the organism clearly a single taxonomic entity and can it be adequately distinguished from other entities of the same rank?</w:t>
      </w:r>
      <w:r>
        <w:rPr>
          <w:color w:val="000000"/>
          <w:sz w:val="24"/>
          <w:szCs w:val="24"/>
        </w:rPr>
        <w:t xml:space="preserve">
</w:t>
      </w:r>
      <w:r>
        <w:rPr>
          <w:color w:val="0200C9"/>
          <w:sz w:val="24"/>
          <w:szCs w:val="24"/>
        </w:rPr>
        <w:t xml:space="preserve">Yes</w:t>
      </w:r>
      <w:r>
        <w:rPr>
          <w:color w:val="000000"/>
          <w:sz w:val="24"/>
          <w:szCs w:val="24"/>
          <w:u w:val="single"/>
        </w:rPr>
        <w:br/>
        <w:t xml:space="preserve">Is the pest defined at the species level or lower?:</w:t>
      </w:r>
      <w:r>
        <w:rPr>
          <w:color w:val="000000"/>
          <w:sz w:val="24"/>
          <w:szCs w:val="24"/>
        </w:rPr>
        <w:t xml:space="preserve">
</w:t>
      </w:r>
      <w:r>
        <w:rPr>
          <w:color w:val="0200C9"/>
          <w:sz w:val="24"/>
          <w:szCs w:val="24"/>
        </w:rPr>
        <w:t xml:space="preserve">Yes</w:t>
      </w:r>
      <w:r>
        <w:rPr>
          <w:color w:val="000000"/>
          <w:sz w:val="24"/>
          <w:szCs w:val="24"/>
          <w:u w:val="single"/>
        </w:rPr>
        <w:br/>
        <w:t xml:space="preserve">Can listing of the pest at a taxonomic level higher than species be supported by scientific reasons or can species be identified within the taxonomic rank which are the (main) pests of concern?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Not relevant: Oil and fibre plants sector</w:t>
      </w:r>
    </w:p>
    <w:p>
      <w:pPr>
        <w:widowControl w:val="on"/>
        <w:pBdr/>
        <w:spacing w:before="0" w:after="0" w:line="240" w:lineRule="auto"/>
        <w:ind w:left="0" w:right="0"/>
        <w:jc w:val="left"/>
      </w:pPr>
      <w:r>
        <w:rPr>
          <w:color w:val="000000"/>
          <w:sz w:val="24"/>
          <w:szCs w:val="24"/>
          <w:u w:val="single"/>
        </w:rPr>
        <w:t xml:space="preserve">Is it justified that the pest is listed at a taxonomic rank below species level?</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p>
    <w:p>
      <w:pPr>
        <w:numPr>
          <w:ilvl w:val="0"/>
          <w:numId w:val="1"/>
        </w:numPr>
        <w:spacing w:before="0" w:after="0" w:line="240" w:lineRule="auto"/>
        <w:jc w:val="left"/>
        <w:rPr>
          <w:color w:val="0200C9"/>
          <w:sz w:val="24"/>
          <w:szCs w:val="24"/>
        </w:rPr>
      </w:pPr>
      <w:r>
        <w:rPr>
          <w:color w:val="0200C9"/>
          <w:sz w:val="24"/>
          <w:szCs w:val="24"/>
        </w:rPr>
        <w:t xml:space="preserve">Candidate: Oil and fibre plants sector</w:t>
      </w:r>
    </w:p>
    <w:p>
      <w:pPr>
        <w:widowControl w:val="on"/>
        <w:pBdr/>
        <w:spacing w:before="0" w:after="0" w:line="240" w:lineRule="auto"/>
        <w:ind w:left="0" w:right="0"/>
        <w:jc w:val="left"/>
      </w:pPr>
      <w:r>
        <w:rPr>
          <w:color w:val="000000"/>
          <w:sz w:val="24"/>
          <w:szCs w:val="24"/>
          <w:u w:val="single"/>
        </w:rPr>
        <w:t xml:space="preserve">Justification (if necessary):</w:t>
      </w:r>
      <w:r>
        <w:rPr>
          <w:color w:val="000000"/>
          <w:sz w:val="24"/>
          <w:szCs w:val="24"/>
        </w:rPr>
        <w:t xml:space="preserve">
</w:t>
      </w:r>
      <w:r>
        <w:rPr>
          <w:color w:val="0200C9"/>
          <w:sz w:val="24"/>
          <w:szCs w:val="24"/>
        </w:rPr>
        <w:t xml:space="preserve">Several varieties have been distinguished within the phytopathogenic pycnidial fungus Phoma exigua on the basis of cultural characteristics. These varieties have been stated to correlate with differences in ability to attack different host plants. Molecular discrimination of the varieties was investigated using amplified fragment length polymorphism (AFLP) and sequence analysis of the ITS region of the rDNA cluster on a set of 43 strains and 7 outgroup strains. The ITS sequences of the 43 different P. exigua strains were highly similar and revealed no subgroups within P. exigua while the AFLP fingerprint patterns of two primer combinations showed clear clustering of most varieties (Abeln, 2002).</w:t>
      </w:r>
      <w:r>
        <w:rPr>
          <w:b/>
          <w:bCs/>
          <w:color w:val="000000"/>
          <w:sz w:val="24"/>
          <w:szCs w:val="24"/>
          <w:u w:val="single"/>
        </w:rPr>
        <w:br/>
        <w:t xml:space="preserve">2 – Status in the EU:</w:t>
      </w:r>
      <w:r>
        <w:rPr>
          <w:color w:val="000000"/>
          <w:sz w:val="24"/>
          <w:szCs w:val="24"/>
        </w:rPr>
        <w:t xml:space="preserve">
 </w:t>
      </w:r>
      <w:r>
        <w:rPr>
          <w:color w:val="000000"/>
          <w:sz w:val="24"/>
          <w:szCs w:val="24"/>
          <w:u w:val="single"/>
        </w:rPr>
        <w:br/>
        <w:t xml:space="preserve">Is this pest already a quarantine pest for the whole EU?</w:t>
      </w:r>
      <w:r>
        <w:rPr>
          <w:color w:val="000000"/>
          <w:sz w:val="24"/>
          <w:szCs w:val="24"/>
        </w:rPr>
        <w:t xml:space="preserve">
</w:t>
      </w:r>
      <w:r>
        <w:rPr>
          <w:color w:val="0200C9"/>
          <w:sz w:val="24"/>
          <w:szCs w:val="24"/>
        </w:rPr>
        <w:t xml:space="preserve">No</w:t>
      </w:r>
      <w:r>
        <w:rPr>
          <w:color w:val="000000"/>
          <w:sz w:val="24"/>
          <w:szCs w:val="24"/>
          <w:u w:val="single"/>
        </w:rPr>
        <w:br/>
        <w:t xml:space="preserve">Presence in the EU:</w:t>
      </w:r>
      <w:r>
        <w:rPr>
          <w:color w:val="000000"/>
          <w:sz w:val="24"/>
          <w:szCs w:val="24"/>
        </w:rPr>
        <w:t xml:space="preserve">
</w:t>
      </w:r>
      <w:r>
        <w:rPr>
          <w:color w:val="0200C9"/>
          <w:sz w:val="24"/>
          <w:szCs w:val="24"/>
        </w:rPr>
        <w:t xml:space="preserve">Yes</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pest is present in Italy (on Salvia greggii) (2016), Germany (on Tripleurospermum maritimum [Matricaria perforata]) (2002), France, Belgium, UK (1953), Holland, Czechoslovakia (from various CABI abstracts on other items).</w:t>
      </w:r>
      <w:r>
        <w:br w:type="page"/>
      </w:r>
    </w:p>
    <w:p>
      <w:pPr>
        <w:widowControl w:val="on"/>
        <w:pBdr/>
        <w:spacing w:before="0" w:after="0" w:line="240" w:lineRule="auto"/>
        <w:ind w:left="0" w:right="0"/>
        <w:jc w:val="left"/>
        <w:outlineLvl w:val="2"/>
      </w:pPr>
      <w:r>
        <w:rPr>
          <w:color w:val="000000"/>
          <w:sz w:val="24"/>
          <w:szCs w:val="24"/>
        </w:rPr>
        <w:t xml:space="preserve">HOST PLANT N°1: </w:t>
      </w:r>
      <w:r>
        <w:rPr>
          <w:color w:val="149613"/>
          <w:sz w:val="24"/>
          <w:szCs w:val="24"/>
        </w:rPr>
        <w:t xml:space="preserve">Linum usitatissimum (LIUUT)</w:t>
      </w:r>
      <w:r>
        <w:rPr>
          <w:color w:val="000000"/>
          <w:sz w:val="24"/>
          <w:szCs w:val="24"/>
        </w:rPr>
        <w:t xml:space="preserve"> for the Oil and fibre plants sector.</w:t>
      </w:r>
    </w:p>
    <w:p/>
    <w:p>
      <w:pPr>
        <w:widowControl w:val="on"/>
        <w:pBdr/>
        <w:spacing w:before="0" w:after="0" w:line="240" w:lineRule="auto"/>
        <w:ind w:left="0" w:right="0"/>
        <w:jc w:val="left"/>
      </w:pPr>
      <w:r>
        <w:rPr>
          <w:color w:val="000000"/>
          <w:sz w:val="24"/>
          <w:szCs w:val="24"/>
          <w:u w:val="single"/>
        </w:rPr>
        <w:t xml:space="preserve">Origin of the listing:</w:t>
      </w:r>
      <w:r>
        <w:rPr>
          <w:color w:val="000000"/>
          <w:sz w:val="24"/>
          <w:szCs w:val="24"/>
        </w:rPr>
        <w:t xml:space="preserve">
</w:t>
      </w:r>
      <w:r>
        <w:rPr>
          <w:color w:val="0200C9"/>
          <w:sz w:val="24"/>
          <w:szCs w:val="24"/>
        </w:rPr>
        <w:t xml:space="preserve">3 - Oil and fibre plants sector: Council Directive 2002/57/EC</w:t>
      </w:r>
      <w:r>
        <w:rPr>
          <w:color w:val="000000"/>
          <w:sz w:val="24"/>
          <w:szCs w:val="24"/>
          <w:u w:val="single"/>
        </w:rPr>
        <w:br/>
        <w:t xml:space="preserve">Plants for planting:</w:t>
      </w:r>
      <w:r>
        <w:rPr>
          <w:color w:val="000000"/>
          <w:sz w:val="24"/>
          <w:szCs w:val="24"/>
        </w:rPr>
        <w:t xml:space="preserve">
</w:t>
      </w:r>
      <w:r>
        <w:rPr>
          <w:color w:val="0200C9"/>
          <w:sz w:val="24"/>
          <w:szCs w:val="24"/>
        </w:rPr>
        <w:t xml:space="preserve">Seeds</w:t>
      </w:r>
      <w:r>
        <w:rPr>
          <w:b/>
          <w:bCs/>
          <w:color w:val="000000"/>
          <w:sz w:val="24"/>
          <w:szCs w:val="24"/>
          <w:u w:val="single"/>
        </w:rPr>
        <w:br/>
        <w:br/>
        <w:t xml:space="preserve">3 - Is the pest already listed in a PM4 standard on the concerned host plant?</w:t>
      </w:r>
      <w:r>
        <w:rPr>
          <w:color w:val="000000"/>
          <w:sz w:val="24"/>
          <w:szCs w:val="24"/>
        </w:rPr>
        <w:t xml:space="preserve">
</w:t>
      </w:r>
      <w:r>
        <w:rPr>
          <w:color w:val="0200C9"/>
          <w:sz w:val="24"/>
          <w:szCs w:val="24"/>
        </w:rPr>
        <w:t xml:space="preserve">No</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Evaluation continues</w:t>
      </w:r>
      <w:r>
        <w:rPr>
          <w:b/>
          <w:bCs/>
          <w:color w:val="000000"/>
          <w:sz w:val="24"/>
          <w:szCs w:val="24"/>
          <w:u w:val="single"/>
        </w:rPr>
        <w:br/>
        <w:t xml:space="preserve">4 - Are the listed plants for planting the main* pathway for the "pest/host/intended use" combination? (*: significant compared to others):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rPr>
        <w:br/>
        <w:t xml:space="preserve"> 
</w:t>
      </w:r>
      <w:r>
        <w:rPr>
          <w:color w:val="000000"/>
          <w:sz w:val="24"/>
          <w:szCs w:val="24"/>
          <w:u w:val="single"/>
        </w:rPr>
        <w:t xml:space="preserve">Justification:</w:t>
      </w:r>
      <w:r>
        <w:rPr>
          <w:color w:val="000000"/>
          <w:sz w:val="24"/>
          <w:szCs w:val="24"/>
        </w:rPr>
        <w:t xml:space="preserve">
</w:t>
      </w:r>
      <w:r>
        <w:rPr>
          <w:color w:val="0200C9"/>
          <w:sz w:val="24"/>
          <w:szCs w:val="24"/>
        </w:rPr>
        <w:t xml:space="preserve">In India Phoma exigua var. linicola was associated with the internal parts of the seed and was pathogenic under artificial conditions of inoculation. Seed treatments gave good control compared with untreated (Kumud et al., 1997). However, spray treatments in France showed that various seed treatments did not reduce the incidence of foot rot when an aerial infection occurred at an early stage of plant development, and concluded under these circumstances, seed treatments must be supplemented with spray treatments soon after inoculation, rather than closer to harvest (Decognet, et al., 1994). In UK seedlings raised from infected seed or in infected soil are attacked at soil-level, fall over, and die (Kerr 1953). Seedlings grown from infected seed or growing in infested soil are attacked in the pre-emergence stage or shortly after emergence. The hypocotyls are attacked at ground-level. Infected seedlings wilt and soon fall over and die. The SEWG concluded that even though the pest is present in the soil, as infected seedlings wilt and soon fall over and die, plants for planting should be considered as a significant pathway compared to other pathways. The inoculum present in the soil decrease with rotation of 5 to 6 years. This pest is really host specific.</w:t>
      </w:r>
      <w:r>
        <w:rPr>
          <w:b/>
          <w:bCs/>
          <w:color w:val="000000"/>
          <w:sz w:val="24"/>
          <w:szCs w:val="24"/>
          <w:u w:val="single"/>
        </w:rPr>
        <w:br/>
        <w:t xml:space="preserve">5 - Economic impact:</w:t>
      </w:r>
      <w:r>
        <w:rPr>
          <w:color w:val="000000"/>
          <w:sz w:val="24"/>
          <w:szCs w:val="24"/>
          <w:u w:val="single"/>
        </w:rPr>
        <w:br/>
        <w:t xml:space="preserve">Are there documented reports of any economic impact on the host?</w:t>
      </w:r>
      <w:r>
        <w:rPr>
          <w:color w:val="000000"/>
          <w:sz w:val="24"/>
          <w:szCs w:val="24"/>
        </w:rPr>
        <w:t xml:space="preserve">
</w:t>
      </w:r>
      <w:r>
        <w:rPr>
          <w:color w:val="0200C9"/>
          <w:sz w:val="24"/>
          <w:szCs w:val="24"/>
        </w:rPr>
        <w:t xml:space="preserve">Yes</w:t>
      </w:r>
      <w:r>
        <w:rPr>
          <w:color w:val="000000"/>
          <w:sz w:val="24"/>
          <w:szCs w:val="24"/>
          <w:u w:val="single"/>
        </w:rPr>
        <w:br/>
        <w:t xml:space="preserve">Justification:</w:t>
      </w:r>
      <w:r>
        <w:rPr>
          <w:color w:val="000000"/>
          <w:sz w:val="24"/>
          <w:szCs w:val="24"/>
        </w:rPr>
        <w:t xml:space="preserve">
</w:t>
      </w:r>
      <w:r>
        <w:rPr>
          <w:color w:val="0200C9"/>
          <w:sz w:val="24"/>
          <w:szCs w:val="24"/>
        </w:rPr>
        <w:t xml:space="preserve">At the seedling stage, the symptoms of foot rot infection closely resemble those caused by Colletotrichum linicola.</w:t>
      </w:r>
      <w:r>
        <w:rPr>
          <w:color w:val="0200C9"/>
          <w:sz w:val="24"/>
          <w:szCs w:val="24"/>
        </w:rPr>
        <w:br/>
        <w:t xml:space="preserve">On mature plants, the first symptom is wilting and shrivelling of the lower leaves. On diseased plants, an area at the base of the stem becomes discoloured, dark green at first and becoming yellow or brown. Pycnidia can be observed in this discoloured area. Often cortical tissues bearing pycnidia peel away from the woody tissues. Pycnidia are usually confined to stem lesions but may be found higher on the stem or on the sepals and walls of the capsules (Kerr, 1953).</w:t>
      </w:r>
      <w:r>
        <w:rPr>
          <w:color w:val="0200C9"/>
          <w:sz w:val="24"/>
          <w:szCs w:val="24"/>
        </w:rPr>
        <w:br/>
        <w:t xml:space="preserve">Foot rot was very serious in parts of GB during 1939-45, when the flax acreage was greatly increased. Seedlings raised from infected seed or in infected soil are attacked at soil-level, fall over, and die and later mature plants first display wilting and shrivelling of the lower leaves before dying off (Kerr, 1953).</w:t>
      </w:r>
      <w:r>
        <w:rPr>
          <w:color w:val="0200C9"/>
          <w:sz w:val="24"/>
          <w:szCs w:val="24"/>
        </w:rPr>
        <w:br/>
        <w:t xml:space="preserve">The disease is widespread and nearly always present in the soil where flax is grown. Under warm and humid conditions in the spring, the disease develops rapidly resulting in severe losses in yield and fibre quality. In fibre flax the disease is particularly serious as infected stems are not decomposed during the retting process (de Tempe, 1963; Ondrej, 1985).</w:t>
      </w:r>
      <w:r>
        <w:rPr>
          <w:color w:val="000000"/>
          <w:sz w:val="24"/>
          <w:szCs w:val="24"/>
          <w:u w:val="single"/>
        </w:rPr>
        <w:br/>
        <w:t xml:space="preserve">What is the likely economic impact of the pest irrespective of its infestation source in the absence of phytosanitary measures? (= official measures)</w:t>
      </w:r>
      <w:r>
        <w:rPr>
          <w:color w:val="000000"/>
          <w:sz w:val="24"/>
          <w:szCs w:val="24"/>
        </w:rPr>
        <w:t xml:space="preserve">
</w:t>
      </w:r>
      <w:r>
        <w:rPr>
          <w:color w:val="0200C9"/>
          <w:sz w:val="24"/>
          <w:szCs w:val="24"/>
        </w:rPr>
        <w:t xml:space="preserve">Medium</w:t>
      </w:r>
      <w:r>
        <w:rPr>
          <w:color w:val="000000"/>
          <w:sz w:val="24"/>
          <w:szCs w:val="24"/>
          <w:u w:val="single"/>
        </w:rPr>
        <w:br/>
        <w:t xml:space="preserve">Is the economic impact due to the presence of the pest on the named host plant for planting, acceptable to the propagation and end user sectors concerned?</w:t>
      </w:r>
      <w:r>
        <w:rPr>
          <w:color w:val="000000"/>
          <w:sz w:val="24"/>
          <w:szCs w:val="24"/>
        </w:rPr>
        <w:t xml:space="preserve">
</w:t>
      </w:r>
      <w:r>
        <w:rPr>
          <w:color w:val="0200C9"/>
          <w:sz w:val="24"/>
          <w:szCs w:val="24"/>
        </w:rPr>
        <w:t xml:space="preserve">No</w:t>
      </w:r>
      <w:r>
        <w:rPr>
          <w:color w:val="000000"/>
          <w:sz w:val="24"/>
          <w:szCs w:val="24"/>
          <w:u w:val="single"/>
        </w:rPr>
        <w:b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disease is widespread and nearly always present in the soil where flax is grown. Under warm and humid conditions in the spring, the disease develops rapidly resulting in severe losses in yield and fibre quality. In fibre flax the disease is particularly serious as infected stems are not decomposed during the retting process (de Tempe, 1963; Ondrej, 1985). The SEWG concluded that impact is medium (currently minor on account of measures taken).</w:t>
      </w:r>
      <w:r>
        <w:rPr>
          <w:b/>
          <w:bCs/>
          <w:color w:val="000000"/>
          <w:sz w:val="24"/>
          <w:szCs w:val="24"/>
          <w:u w:val="single"/>
        </w:rPr>
        <w:br/>
        <w:t xml:space="preserve">6 - Are there feasible and effective measures available to prevent the presence of the pest on the plants for planting at an incidence above a certain threshold (including zero) to avoid an unacceptable economic impact as regards the relevant host plants?</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color w:val="0200C9"/>
          <w:sz w:val="24"/>
          <w:szCs w:val="24"/>
        </w:rPr>
        <w:t xml:space="preserve">The disease is seedborne, and as such, the primary means of control should be the production of disease-free seed. Maddens (1987) described a number of suitable seed treatments. In the later stages of the disease, control is more difficult. Muskett and Colhoun (1947) indicated a measure of disease resistance between cultivars and advised the use of rotation to reduce inoculum levels in the field. In linseed cultivars, Mercer and Jeffs (1988) demonstrated increased susceptibility in the cultivar Atalante compared with cultivars Antares or Lidgate. Ondrej (1983) did not observe any significant resistance to B. exigua var. linicola in fibre-flax cultivars.</w:t>
      </w:r>
      <w:r>
        <w:rPr>
          <w:b/>
          <w:bCs/>
          <w:color w:val="000000"/>
          <w:sz w:val="24"/>
          <w:szCs w:val="24"/>
          <w:u w:val="single"/>
        </w:rPr>
        <w:br/>
        <w:t xml:space="preserve">7- Is the quality of the data sufficient to recommend the pest to be listed as a RNQP?</w:t>
      </w:r>
      <w:r>
        <w:rPr>
          <w:color w:val="000000"/>
          <w:sz w:val="24"/>
          <w:szCs w:val="24"/>
        </w:rPr>
        <w:t xml:space="preserve">
</w:t>
      </w:r>
      <w:r>
        <w:rPr>
          <w:color w:val="0200C9"/>
          <w:sz w:val="24"/>
          <w:szCs w:val="24"/>
        </w:rPr>
        <w:t xml:space="preserve">Yes</w:t>
      </w:r>
      <w:r>
        <w:rPr>
          <w:color w:val="000000"/>
          <w:sz w:val="24"/>
          <w:szCs w:val="24"/>
        </w:rPr>
        <w:t xml:space="preserve">
</w:t>
      </w:r>
      <w:r>
        <w:rPr>
          <w:color w:val="000000"/>
          <w:sz w:val="24"/>
          <w:szCs w:val="24"/>
          <w:u w:val="single"/>
        </w:rPr>
        <w:t xml:space="preserve">Conclusion:</w:t>
      </w:r>
      <w:r>
        <w:rPr>
          <w:color w:val="000000"/>
          <w:sz w:val="24"/>
          <w:szCs w:val="24"/>
        </w:rPr>
        <w:t xml:space="preserve">
</w:t>
      </w:r>
      <w:r>
        <w:rPr>
          <w:color w:val="0200C9"/>
          <w:sz w:val="24"/>
          <w:szCs w:val="24"/>
        </w:rPr>
        <w:t xml:space="preserve">Candidate</w:t>
      </w:r>
      <w:r>
        <w:rPr>
          <w:color w:val="000000"/>
          <w:sz w:val="24"/>
          <w:szCs w:val="24"/>
          <w:u w:val="single"/>
        </w:rPr>
        <w:br/>
        <w:t xml:space="preserve">Justification:</w:t>
      </w:r>
      <w:r>
        <w:rPr>
          <w:color w:val="000000"/>
          <w:sz w:val="24"/>
          <w:szCs w:val="24"/>
        </w:rPr>
        <w:t xml:space="preserve">
</w:t>
      </w:r>
      <w:r>
        <w:rPr>
          <w:b/>
          <w:bCs/>
          <w:color w:val="000000"/>
          <w:sz w:val="24"/>
          <w:szCs w:val="24"/>
          <w:u w:val="single"/>
        </w:rPr>
        <w:br/>
        <w:t xml:space="preserve">CONCLUSION ON THE STATUS:</w:t>
      </w:r>
      <w:r>
        <w:rPr>
          <w:color w:val="000000"/>
          <w:sz w:val="24"/>
          <w:szCs w:val="24"/>
        </w:rPr>
        <w:t xml:space="preserve">
</w:t>
      </w:r>
      <w:r>
        <w:rPr>
          <w:color w:val="0200C9"/>
          <w:sz w:val="24"/>
          <w:szCs w:val="24"/>
        </w:rPr>
        <w:t xml:space="preserve">Recommended for listing as an RNQP, based on data. Even though the pest is widespread in soil, it is short lived so this source of inoculum falls with rotation. Early infection of seedlings from seed borne inoculum can be important.</w:t>
      </w:r>
      <w:r>
        <w:rPr>
          <w:b/>
          <w:bCs/>
          <w:color w:val="000000"/>
          <w:sz w:val="24"/>
          <w:szCs w:val="24"/>
          <w:u w:val="single"/>
        </w:rPr>
        <w:br/>
        <w:br/>
        <w:t xml:space="preserve">8 - Tolerance level:</w:t>
      </w:r>
      <w:r>
        <w:rPr>
          <w:color w:val="000000"/>
          <w:sz w:val="24"/>
          <w:szCs w:val="24"/>
          <w:u w:val="single"/>
        </w:rPr>
        <w:br/>
        <w:t xml:space="preserve">Is there a need to change the Tolerance level:</w:t>
      </w:r>
      <w:r>
        <w:rPr>
          <w:color w:val="000000"/>
          <w:sz w:val="24"/>
          <w:szCs w:val="24"/>
        </w:rPr>
        <w:t xml:space="preserve">
</w:t>
      </w:r>
      <w:r>
        <w:rPr>
          <w:color w:val="0200C9"/>
          <w:sz w:val="24"/>
          <w:szCs w:val="24"/>
        </w:rPr>
        <w:t xml:space="preserve">Yes</w:t>
      </w:r>
      <w:r>
        <w:rPr>
          <w:color w:val="000000"/>
          <w:sz w:val="24"/>
          <w:szCs w:val="24"/>
          <w:u w:val="single"/>
        </w:rPr>
        <w:br/>
        <w:t xml:space="preserve">Proposed Tolerance levels:</w:t>
      </w:r>
      <w:r>
        <w:rPr>
          <w:color w:val="000000"/>
          <w:sz w:val="24"/>
          <w:szCs w:val="24"/>
        </w:rPr>
        <w:t xml:space="preserve">
</w:t>
      </w:r>
      <w:r>
        <w:rPr>
          <w:color w:val="0200C9"/>
          <w:sz w:val="24"/>
          <w:szCs w:val="24"/>
        </w:rPr>
        <w:t xml:space="preserve">Basic and certified material:</w:t>
      </w:r>
      <w:r>
        <w:rPr>
          <w:color w:val="0200C9"/>
          <w:sz w:val="24"/>
          <w:szCs w:val="24"/>
        </w:rPr>
        <w:br/>
        <w:t xml:space="preserve">(a) Seed treatment authorised for use against Boeremia exigua var. linicola has been applied;</w:t>
      </w:r>
      <w:r>
        <w:rPr>
          <w:color w:val="0200C9"/>
          <w:sz w:val="24"/>
          <w:szCs w:val="24"/>
        </w:rPr>
        <w:br/>
        <w:t xml:space="preserve">or</w:t>
      </w:r>
      <w:r>
        <w:rPr>
          <w:color w:val="0200C9"/>
          <w:sz w:val="24"/>
          <w:szCs w:val="24"/>
        </w:rPr>
        <w:br/>
        <w:t xml:space="preserve">(b) Not more than 5% of seed affected with Alternaria linicola, Boeremia exigua var. linicola, Colletotrichum lini, Fusarium spp based on laboratory test of a representative sample.</w:t>
      </w:r>
      <w:r>
        <w:rPr>
          <w:b/>
          <w:bCs/>
          <w:color w:val="000000"/>
          <w:sz w:val="24"/>
          <w:szCs w:val="24"/>
          <w:u w:val="single"/>
        </w:rPr>
        <w:br/>
        <w:t xml:space="preserve">9 - Risk management measures:</w:t>
      </w:r>
      <w:r>
        <w:rPr>
          <w:color w:val="000000"/>
          <w:sz w:val="24"/>
          <w:szCs w:val="24"/>
          <w:u w:val="single"/>
        </w:rPr>
        <w:br/>
        <w:t xml:space="preserve">Is there a need to change the Risk management measure:</w:t>
      </w:r>
      <w:r>
        <w:rPr>
          <w:color w:val="000000"/>
          <w:sz w:val="24"/>
          <w:szCs w:val="24"/>
        </w:rPr>
        <w:t xml:space="preserve">
</w:t>
      </w:r>
      <w:r>
        <w:rPr>
          <w:color w:val="0200C9"/>
          <w:sz w:val="24"/>
          <w:szCs w:val="24"/>
        </w:rPr>
        <w:t xml:space="preserve">No</w:t>
      </w:r>
      <w:r>
        <w:rPr>
          <w:color w:val="000000"/>
          <w:sz w:val="24"/>
          <w:szCs w:val="24"/>
          <w:u w:val="single"/>
        </w:rPr>
        <w:br/>
        <w:t xml:space="preserve">Proposed Risk management measure:</w:t>
      </w:r>
      <w:r>
        <w:rPr>
          <w:color w:val="000000"/>
          <w:sz w:val="24"/>
          <w:szCs w:val="24"/>
        </w:rPr>
        <w:t xml:space="preserve">
</w:t>
      </w:r>
      <w:r>
        <w:rPr>
          <w:color w:val="000000"/>
          <w:sz w:val="24"/>
          <w:szCs w:val="24"/>
          <w:u w:val="single"/>
        </w:rPr>
        <w:br/>
        <w:t xml:space="preserve">Justification (if necessary):</w:t>
      </w:r>
      <w:r>
        <w:rPr>
          <w:color w:val="000000"/>
          <w:sz w:val="24"/>
          <w:szCs w:val="24"/>
        </w:rPr>
        <w:t xml:space="preserve">
</w:t>
      </w:r>
      <w:r>
        <w:rPr>
          <w:color w:val="0200C9"/>
          <w:sz w:val="24"/>
          <w:szCs w:val="24"/>
        </w:rPr>
        <w:t xml:space="preserve">The SEWG noted that some member states currently have additional requirements for thresholds for this pathogen in field inspection of Linum, and that effective seed treatments may be available [one reference suggests seed treatment reducing damage from Fusarium oxysporum f. sp. lini].</w:t>
      </w:r>
      <w:r>
        <w:rPr>
          <w:b/>
          <w:bCs/>
          <w:color w:val="000000"/>
          <w:sz w:val="24"/>
          <w:szCs w:val="24"/>
          <w:u w:val="single"/>
        </w:rPr>
        <w:br/>
        <w:t xml:space="preserve">REFERENCES:</w:t>
      </w:r>
    </w:p>
    <w:p>
      <w:pPr>
        <w:numPr>
          <w:ilvl w:val="0"/>
          <w:numId w:val="1"/>
        </w:numPr>
        <w:spacing w:before="0" w:after="0" w:line="240" w:lineRule="auto"/>
        <w:jc w:val="left"/>
        <w:rPr>
          <w:color w:val="0200C9"/>
          <w:sz w:val="24"/>
          <w:szCs w:val="24"/>
        </w:rPr>
      </w:pPr>
      <w:r>
        <w:rPr>
          <w:color w:val="0200C9"/>
          <w:sz w:val="24"/>
          <w:szCs w:val="24"/>
        </w:rPr>
        <w:t xml:space="preserve">Decognet V, Cerceau V &amp; Jouan B (1994) Control of Phoma exigua var. linicola on flax by seed and foliar spray treatments with fungicides. Crop Protection 13, 105-108;</w:t>
      </w:r>
    </w:p>
    <w:p>
      <w:pPr>
        <w:numPr>
          <w:ilvl w:val="0"/>
          <w:numId w:val="1"/>
        </w:numPr>
        <w:spacing w:before="0" w:after="0" w:line="240" w:lineRule="auto"/>
        <w:jc w:val="left"/>
        <w:rPr>
          <w:color w:val="0200C9"/>
          <w:sz w:val="24"/>
          <w:szCs w:val="24"/>
        </w:rPr>
      </w:pPr>
      <w:r>
        <w:rPr>
          <w:color w:val="0200C9"/>
          <w:sz w:val="24"/>
          <w:szCs w:val="24"/>
        </w:rPr>
        <w:t xml:space="preserve">Kerr A (1953) Foot rot of Flax caused by Ascochyta linicola. Transactions of the British Mycological Society 36, 61-73;</w:t>
      </w:r>
    </w:p>
    <w:p>
      <w:pPr>
        <w:numPr>
          <w:ilvl w:val="0"/>
          <w:numId w:val="1"/>
        </w:numPr>
        <w:spacing w:before="0" w:after="0" w:line="240" w:lineRule="auto"/>
        <w:jc w:val="left"/>
        <w:rPr>
          <w:color w:val="0200C9"/>
          <w:sz w:val="24"/>
          <w:szCs w:val="24"/>
        </w:rPr>
      </w:pPr>
      <w:r>
        <w:rPr>
          <w:color w:val="0200C9"/>
          <w:sz w:val="24"/>
          <w:szCs w:val="24"/>
        </w:rPr>
        <w:t xml:space="preserve">Kumud K, Jitendra S &amp; Yadav MD (1997) Fungi associated with linseed seeds, their effect and chemical control. Annals of Plant Protection Sciences 5, 179-183.</w:t>
      </w:r>
    </w:p>
    <w:sectPr xmlns:w="http://schemas.openxmlformats.org/wordprocessingml/2006/main" w:rsidR="00AC197E" w:rsidRPr="00DF064E" w:rsidSect="000F6147">
      <w:pgSz w:w="11906" w:h="16838" w:orient="portrait" w:code="9"/>
      <w:pgMar w:top="10mm" w:right="10mm" w:bottom="10mm" w:left="10mm" w:header="708" w:footer="708" w:gutter="0"/>
      <w:cols w:space="708" w:num="1"/>
      <w:docGrid w:linePitch="360"/>
    </w:sectPr>
  </w:body>
</w:document>
</file>

<file path=word/comments.xml><?xml version="1.0" encoding="utf-8"?>
<w:comments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file>

<file path=word/commentsExtended.xml><?xml version="1.0" encoding="utf-8"?>
<w15:commentsEx xmlns:m="http://schemas.openxmlformats.org/officeDocument/2006/math" xmlns:mc="http://schemas.openxmlformats.org/markup-compatibility/2006" xmlns:o="urn:schemas-microsoft-com:office:office" xmlns:r="http://schemas.openxmlformats.org/officeDocument/2006/relationships" xmlns:v="urn:schemas-microsoft-com:vml" xmlns:w="http://schemas.openxmlformats.org/wordprocessingml/2006/main" xmlns:w10="urn:schemas-microsoft-com:office:word" xmlns:w14="http://schemas.microsoft.com/office/word/2010/wordml" xmlns:w15="http://schemas.microsoft.com/office/word/2012/wordml" xmlns:wne="http://schemas.microsoft.com/office/word/2006/wordml" xmlns:wp="http://schemas.openxmlformats.org/drawingml/2006/wordprocessingDrawing" xmlns:wp14="http://schemas.microsoft.com/office/word/2010/wordprocessingDrawing" xmlns:wpc="http://schemas.microsoft.com/office/word/2010/wordprocessingCanvas" xmlns:wpg="http://schemas.microsoft.com/office/word/2010/wordprocessingGroup" xmlns:wpi="http://schemas.microsoft.com/office/word/2010/wordprocessingInk" xmlns:wps="http://schemas.microsoft.com/office/word/2010/wordprocessingShape" mc:Ignorable="w14 w15 wp14">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0FDA" w:rsidRDefault="006E0FDA" w:rsidP="006E0FDA">
      <w:pPr>
        <w:spacing w:after="0" w:line="240" w:lineRule="auto"/>
      </w:pPr>
      <w:r>
        <w:separator/>
      </w:r>
    </w:p>
  </w:endnote>
  <w:endnote w:type="continuationSeparator" w:id="0">
    <w:p w:rsidR="006E0FDA" w:rsidRDefault="006E0FDA" w:rsidP="006E0FD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0FDA" w:rsidRDefault="006E0FDA" w:rsidP="006E0FDA">
      <w:pPr>
        <w:spacing w:after="0" w:line="240" w:lineRule="auto"/>
      </w:pPr>
      <w:r>
        <w:separator/>
      </w:r>
    </w:p>
  </w:footnote>
  <w:footnote w:type="continuationSeparator" w:id="0">
    <w:p w:rsidR="006E0FDA" w:rsidRDefault="006E0FDA" w:rsidP="006E0FDA">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99725440">
    <w:multiLevelType w:val="hybridMultilevel"/>
    <w:lvl w:ilvl="0" w:tplc="89104399">
      <w:start w:val="1"/>
      <w:numFmt w:val="decimal"/>
      <w:lvlText w:val="%1."/>
      <w:lvlJc w:val="left"/>
      <w:pPr>
        <w:ind w:left="720" w:hanging="360"/>
      </w:pPr>
    </w:lvl>
    <w:lvl w:ilvl="1" w:tplc="89104399" w:tentative="1">
      <w:start w:val="1"/>
      <w:numFmt w:val="lowerLetter"/>
      <w:lvlText w:val="%2."/>
      <w:lvlJc w:val="left"/>
      <w:pPr>
        <w:ind w:left="1440" w:hanging="360"/>
      </w:pPr>
    </w:lvl>
    <w:lvl w:ilvl="2" w:tplc="89104399" w:tentative="1">
      <w:start w:val="1"/>
      <w:numFmt w:val="lowerRoman"/>
      <w:lvlText w:val="%3."/>
      <w:lvlJc w:val="right"/>
      <w:pPr>
        <w:ind w:left="2160" w:hanging="180"/>
      </w:pPr>
    </w:lvl>
    <w:lvl w:ilvl="3" w:tplc="89104399" w:tentative="1">
      <w:start w:val="1"/>
      <w:numFmt w:val="decimal"/>
      <w:lvlText w:val="%4."/>
      <w:lvlJc w:val="left"/>
      <w:pPr>
        <w:ind w:left="2880" w:hanging="360"/>
      </w:pPr>
    </w:lvl>
    <w:lvl w:ilvl="4" w:tplc="89104399" w:tentative="1">
      <w:start w:val="1"/>
      <w:numFmt w:val="lowerLetter"/>
      <w:lvlText w:val="%5."/>
      <w:lvlJc w:val="left"/>
      <w:pPr>
        <w:ind w:left="3600" w:hanging="360"/>
      </w:pPr>
    </w:lvl>
    <w:lvl w:ilvl="5" w:tplc="89104399" w:tentative="1">
      <w:start w:val="1"/>
      <w:numFmt w:val="lowerRoman"/>
      <w:lvlText w:val="%6."/>
      <w:lvlJc w:val="right"/>
      <w:pPr>
        <w:ind w:left="4320" w:hanging="180"/>
      </w:pPr>
    </w:lvl>
    <w:lvl w:ilvl="6" w:tplc="89104399" w:tentative="1">
      <w:start w:val="1"/>
      <w:numFmt w:val="decimal"/>
      <w:lvlText w:val="%7."/>
      <w:lvlJc w:val="left"/>
      <w:pPr>
        <w:ind w:left="5040" w:hanging="360"/>
      </w:pPr>
    </w:lvl>
    <w:lvl w:ilvl="7" w:tplc="89104399" w:tentative="1">
      <w:start w:val="1"/>
      <w:numFmt w:val="lowerLetter"/>
      <w:lvlText w:val="%8."/>
      <w:lvlJc w:val="left"/>
      <w:pPr>
        <w:ind w:left="5760" w:hanging="360"/>
      </w:pPr>
    </w:lvl>
    <w:lvl w:ilvl="8" w:tplc="89104399" w:tentative="1">
      <w:start w:val="1"/>
      <w:numFmt w:val="lowerRoman"/>
      <w:lvlText w:val="%9."/>
      <w:lvlJc w:val="right"/>
      <w:pPr>
        <w:ind w:left="6480" w:hanging="180"/>
      </w:pPr>
    </w:lvl>
  </w:abstractNum>
  <w:abstractNum w:abstractNumId="99725439">
    <w:multiLevelType w:val="hybridMultilevel"/>
    <w:lvl w:ilvl="0" w:tplc="66600340">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0">
    <w:nsid w:val="262A5BB1"/>
    <w:multiLevelType w:val="multilevel"/>
    <w:tmpl w:val="FBB4C07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2EE2481C"/>
    <w:multiLevelType w:val="multilevel"/>
    <w:tmpl w:val="0C0A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
    <w:nsid w:val="4E030807"/>
    <w:multiLevelType w:val="multilevel"/>
    <w:tmpl w:val="0C0A0025"/>
    <w:lvl w:ilvl="0">
      <w:start w:val="1"/>
      <w:numFmt w:val="decimal"/>
      <w:pStyle w:val="Heading1PHPDOCX"/>
      <w:lvlText w:val="%1"/>
      <w:lvlJc w:val="left"/>
      <w:pPr>
        <w:ind w:left="432" w:hanging="432"/>
      </w:pPr>
    </w:lvl>
    <w:lvl w:ilvl="1">
      <w:start w:val="1"/>
      <w:numFmt w:val="decimal"/>
      <w:pStyle w:val="Heading2PHPDOCX"/>
      <w:lvlText w:val="%1.%2"/>
      <w:lvlJc w:val="left"/>
      <w:pPr>
        <w:ind w:left="576" w:hanging="576"/>
      </w:pPr>
    </w:lvl>
    <w:lvl w:ilvl="2">
      <w:start w:val="1"/>
      <w:numFmt w:val="decimal"/>
      <w:pStyle w:val="Heading3PHPDOCX"/>
      <w:lvlText w:val="%1.%2.%3"/>
      <w:lvlJc w:val="left"/>
      <w:pPr>
        <w:ind w:left="720" w:hanging="720"/>
      </w:pPr>
    </w:lvl>
    <w:lvl w:ilvl="3">
      <w:start w:val="1"/>
      <w:numFmt w:val="decimal"/>
      <w:pStyle w:val="Heading4PHPDOCX"/>
      <w:lvlText w:val="%1.%2.%3.%4"/>
      <w:lvlJc w:val="left"/>
      <w:pPr>
        <w:ind w:left="864" w:hanging="864"/>
      </w:pPr>
    </w:lvl>
    <w:lvl w:ilvl="4">
      <w:start w:val="1"/>
      <w:numFmt w:val="decimal"/>
      <w:pStyle w:val="Heading5PHPDOCX"/>
      <w:lvlText w:val="%1.%2.%3.%4.%5"/>
      <w:lvlJc w:val="left"/>
      <w:pPr>
        <w:ind w:left="1008" w:hanging="1008"/>
      </w:pPr>
    </w:lvl>
    <w:lvl w:ilvl="5">
      <w:start w:val="1"/>
      <w:numFmt w:val="decimal"/>
      <w:pStyle w:val="Heading6PHPDOCX"/>
      <w:lvlText w:val="%1.%2.%3.%4.%5.%6"/>
      <w:lvlJc w:val="left"/>
      <w:pPr>
        <w:ind w:left="1152" w:hanging="1152"/>
      </w:pPr>
    </w:lvl>
    <w:lvl w:ilvl="6">
      <w:start w:val="1"/>
      <w:numFmt w:val="decimal"/>
      <w:pStyle w:val="Heading7PHPDOCX"/>
      <w:lvlText w:val="%1.%2.%3.%4.%5.%6.%7"/>
      <w:lvlJc w:val="left"/>
      <w:pPr>
        <w:ind w:left="1296" w:hanging="1296"/>
      </w:pPr>
    </w:lvl>
    <w:lvl w:ilvl="7">
      <w:start w:val="1"/>
      <w:numFmt w:val="decimal"/>
      <w:pStyle w:val="Heading8PHPDOCX"/>
      <w:lvlText w:val="%1.%2.%3.%4.%5.%6.%7.%8"/>
      <w:lvlJc w:val="left"/>
      <w:pPr>
        <w:ind w:left="1440" w:hanging="1440"/>
      </w:pPr>
    </w:lvl>
    <w:lvl w:ilvl="8">
      <w:start w:val="1"/>
      <w:numFmt w:val="decimal"/>
      <w:pStyle w:val="Heading9PHPDOCX"/>
      <w:lvlText w:val="%1.%2.%3.%4.%5.%6.%7.%8.%9"/>
      <w:lvlJc w:val="left"/>
      <w:pPr>
        <w:ind w:left="1584" w:hanging="1584"/>
      </w:pPr>
    </w:lvl>
  </w:abstractNum>
  <w:abstractNum w:abstractNumId="3">
    <w:nsid w:val="516B4C7F"/>
    <w:multiLevelType w:val="hybridMultilevel"/>
    <w:tmpl w:val="D562937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5623468F"/>
    <w:multiLevelType w:val="multilevel"/>
    <w:tmpl w:val="0C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56792213"/>
    <w:multiLevelType w:val="hybridMultilevel"/>
    <w:tmpl w:val="C502613C"/>
    <w:lvl w:ilvl="0" w:tplc="0C0A000F">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
    <w:nsid w:val="6027097E"/>
    <w:multiLevelType w:val="multilevel"/>
    <w:tmpl w:val="0C0A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5"/>
  </w:num>
  <w:num w:numId="3">
    <w:abstractNumId w:val="6"/>
  </w:num>
  <w:num w:numId="4">
    <w:abstractNumId w:val="4"/>
  </w:num>
  <w:num w:numId="5">
    <w:abstractNumId w:val="1"/>
  </w:num>
  <w:num w:numId="6">
    <w:abstractNumId w:val="0"/>
  </w:num>
  <w:num w:numId="7">
    <w:abstractNumId w:val="2"/>
  </w:num>
  <w:num w:numId="99725439">
    <w:abstractNumId w:val="99725439"/>
  </w:num>
  <w:num w:numId="99725440">
    <w:abstractNumId w:val="9972544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DF064E"/>
    <w:rsid w:val="00065F9C"/>
    <w:rsid w:val="000F6147"/>
    <w:rsid w:val="00112029"/>
    <w:rsid w:val="00135412"/>
    <w:rsid w:val="00361FF4"/>
    <w:rsid w:val="003B5299"/>
    <w:rsid w:val="00493A0C"/>
    <w:rsid w:val="004D6B48"/>
    <w:rsid w:val="00531A4E"/>
    <w:rsid w:val="00535F5A"/>
    <w:rsid w:val="00555F58"/>
    <w:rsid w:val="006E6663"/>
    <w:rsid w:val="008B3AC2"/>
    <w:rsid w:val="008F680D"/>
    <w:rsid w:val="00AC197E"/>
    <w:rsid w:val="00B21D59"/>
    <w:rsid w:val="00BD419F"/>
    <w:rsid w:val="00DF064E"/>
    <w:rsid w:val="00FB45F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PHPDOCX" w:semiHidden="0" w:uiPriority="0" w:unhideWhenUsed="0" w:qFormat="1"/>
    <w:lsdException w:name="Heading 1 PHPDOCX" w:semiHidden="0" w:uiPriority="9" w:unhideWhenUsed="0" w:qFormat="1"/>
    <w:lsdException w:name="Heading 2 PHPDOCX" w:uiPriority="9" w:qFormat="1"/>
    <w:lsdException w:name="Heading 3 PHPDOCX" w:uiPriority="9" w:qFormat="1"/>
    <w:lsdException w:name="Heading 4 PHPDOCX" w:uiPriority="9" w:qFormat="1"/>
    <w:lsdException w:name="Heading 5 PHPDOCX" w:uiPriority="9" w:qFormat="1"/>
    <w:lsdException w:name="Heading 6 PHPDOCX" w:uiPriority="9" w:qFormat="1"/>
    <w:lsdException w:name="Heading 7 PHPDOCX" w:uiPriority="9" w:qFormat="1"/>
    <w:lsdException w:name="Heading 8 PHPDOCX" w:uiPriority="9" w:qFormat="1"/>
    <w:lsdException w:name="Heading 9 PHPDOCX" w:uiPriority="9" w:qFormat="1"/>
    <w:lsdException w:name="toc 1 PHPDOCX" w:uiPriority="39"/>
    <w:lsdException w:name="toc 2 PHPDOCX" w:uiPriority="39"/>
    <w:lsdException w:name="toc 3 PHPDOCX" w:uiPriority="39"/>
    <w:lsdException w:name="toc 4 PHPDOCX" w:uiPriority="39"/>
    <w:lsdException w:name="toc 5 PHPDOCX" w:uiPriority="39"/>
    <w:lsdException w:name="toc 6 PHPDOCX" w:uiPriority="39"/>
    <w:lsdException w:name="toc 7 PHPDOCX" w:uiPriority="39"/>
    <w:lsdException w:name="toc 8 PHPDOCX" w:uiPriority="39"/>
    <w:lsdException w:name="toc 9 PHPDOCX" w:uiPriority="39"/>
    <w:lsdException w:name="caption PHPDOCX" w:uiPriority="35" w:qFormat="1"/>
    <w:lsdException w:name="Title PHPDOCX" w:semiHidden="0" w:uiPriority="10" w:unhideWhenUsed="0" w:qFormat="1"/>
    <w:lsdException w:name="Default Paragraph Font PHPDOCX" w:uiPriority="1"/>
    <w:lsdException w:name="Subtitle PHPDOCX" w:semiHidden="0" w:uiPriority="11" w:unhideWhenUsed="0" w:qFormat="1"/>
    <w:lsdException w:name="Strong PHPDOCX" w:semiHidden="0" w:uiPriority="22" w:unhideWhenUsed="0" w:qFormat="1"/>
    <w:lsdException w:name="Emphasis PHPDOCX" w:semiHidden="0" w:uiPriority="20" w:unhideWhenUsed="0" w:qFormat="1"/>
    <w:lsdException w:name="Normal Table PHPDOCX" w:semiHidden="0" w:uiPriority="58" w:unhideWhenUsed="0"/>
    <w:lsdException w:name="Table Grid PHPDOCX" w:semiHidden="0" w:uiPriority="59" w:unhideWhenUsed="0"/>
    <w:lsdException w:name="Placeholder Text PHPDOCX" w:unhideWhenUsed="0"/>
    <w:lsdException w:name="No Spacing PHPDOCX" w:semiHidden="0" w:uiPriority="1" w:unhideWhenUsed="0" w:qFormat="1"/>
    <w:lsdException w:name="Light Shading PHPDOCX" w:semiHidden="0" w:uiPriority="60" w:unhideWhenUsed="0"/>
    <w:lsdException w:name="Light List PHPDOCX" w:semiHidden="0" w:uiPriority="61" w:unhideWhenUsed="0"/>
    <w:lsdException w:name="Light Grid PHPDOCX" w:semiHidden="0" w:uiPriority="62" w:unhideWhenUsed="0"/>
    <w:lsdException w:name="Medium Shading 1 PHPDOCX" w:semiHidden="0" w:uiPriority="63" w:unhideWhenUsed="0"/>
    <w:lsdException w:name="Medium Shading 2 PHPDOCX" w:semiHidden="0" w:uiPriority="64" w:unhideWhenUsed="0"/>
    <w:lsdException w:name="Medium List 1 PHPDOCX" w:semiHidden="0" w:uiPriority="65" w:unhideWhenUsed="0"/>
    <w:lsdException w:name="Medium List 2 PHPDOCX" w:semiHidden="0" w:uiPriority="66" w:unhideWhenUsed="0"/>
    <w:lsdException w:name="Medium Grid 1 PHPDOCX" w:semiHidden="0" w:uiPriority="67" w:unhideWhenUsed="0"/>
    <w:lsdException w:name="Medium Grid 2 PHPDOCX" w:semiHidden="0" w:uiPriority="68" w:unhideWhenUsed="0"/>
    <w:lsdException w:name="Medium Grid 3 PHPDOCX" w:semiHidden="0" w:uiPriority="69" w:unhideWhenUsed="0"/>
    <w:lsdException w:name="Dark List PHPDOCX" w:semiHidden="0" w:uiPriority="70" w:unhideWhenUsed="0"/>
    <w:lsdException w:name="Colorful Shading PHPDOCX" w:semiHidden="0" w:uiPriority="71" w:unhideWhenUsed="0"/>
    <w:lsdException w:name="Colorful List PHPDOCX" w:semiHidden="0" w:uiPriority="72" w:unhideWhenUsed="0"/>
    <w:lsdException w:name="Colorful Grid PHPDOCX" w:semiHidden="0" w:uiPriority="73" w:unhideWhenUsed="0"/>
    <w:lsdException w:name="Light Shading Accent 1 PHPDOCX" w:semiHidden="0" w:uiPriority="60" w:unhideWhenUsed="0"/>
    <w:lsdException w:name="Light List Accent 1 PHPDOCX" w:semiHidden="0" w:uiPriority="61" w:unhideWhenUsed="0"/>
    <w:lsdException w:name="Light Grid Accent 1 PHPDOCX" w:semiHidden="0" w:uiPriority="62" w:unhideWhenUsed="0"/>
    <w:lsdException w:name="Medium Shading 1 Accent 1 PHPDOCX" w:semiHidden="0" w:uiPriority="63" w:unhideWhenUsed="0"/>
    <w:lsdException w:name="Medium Shading 2 Accent 1 PHPDOCX" w:semiHidden="0" w:uiPriority="64" w:unhideWhenUsed="0"/>
    <w:lsdException w:name="Medium List 1 Accent 1 PHPDOCX" w:semiHidden="0" w:uiPriority="65" w:unhideWhenUsed="0"/>
    <w:lsdException w:name="Revision PHPDOCX" w:unhideWhenUsed="0"/>
    <w:lsdException w:name="List Paragraph PHPDOCX" w:semiHidden="0" w:uiPriority="34" w:unhideWhenUsed="0" w:qFormat="1"/>
    <w:lsdException w:name="Quote PHPDOCX" w:semiHidden="0" w:uiPriority="29" w:unhideWhenUsed="0" w:qFormat="1"/>
    <w:lsdException w:name="Intense Quote PHPDOCX" w:semiHidden="0" w:uiPriority="30" w:unhideWhenUsed="0" w:qFormat="1"/>
    <w:lsdException w:name="Medium List 2 Accent 1 PHPDOCX" w:semiHidden="0" w:uiPriority="66" w:unhideWhenUsed="0"/>
    <w:lsdException w:name="Medium Grid 1 Accent 1 PHPDOCX" w:semiHidden="0" w:uiPriority="67" w:unhideWhenUsed="0"/>
    <w:lsdException w:name="Medium Grid 2 Accent 1 PHPDOCX" w:semiHidden="0" w:uiPriority="68" w:unhideWhenUsed="0"/>
    <w:lsdException w:name="Medium Grid 3 Accent 1 PHPDOCX" w:semiHidden="0" w:uiPriority="69" w:unhideWhenUsed="0"/>
    <w:lsdException w:name="Dark List Accent 1 PHPDOCX" w:semiHidden="0" w:uiPriority="70" w:unhideWhenUsed="0"/>
    <w:lsdException w:name="Colorful Shading Accent 1 PHPDOCX" w:semiHidden="0" w:uiPriority="71" w:unhideWhenUsed="0"/>
    <w:lsdException w:name="Colorful List Accent 1 PHPDOCX" w:semiHidden="0" w:uiPriority="72" w:unhideWhenUsed="0"/>
    <w:lsdException w:name="Colorful Grid Accent 1 PHPDOCX" w:semiHidden="0" w:uiPriority="73" w:unhideWhenUsed="0"/>
    <w:lsdException w:name="Light Shading Accent 2 PHPDOCX" w:semiHidden="0" w:uiPriority="60" w:unhideWhenUsed="0"/>
    <w:lsdException w:name="Light List Accent 2 PHPDOCX" w:semiHidden="0" w:uiPriority="61" w:unhideWhenUsed="0"/>
    <w:lsdException w:name="Light Grid Accent 2 PHPDOCX" w:semiHidden="0" w:uiPriority="62" w:unhideWhenUsed="0"/>
    <w:lsdException w:name="Medium Shading 1 Accent 2 PHPDOCX" w:semiHidden="0" w:uiPriority="63" w:unhideWhenUsed="0"/>
    <w:lsdException w:name="Medium Shading 2 Accent 2 PHPDOCX" w:semiHidden="0" w:uiPriority="64" w:unhideWhenUsed="0"/>
    <w:lsdException w:name="Medium List 1 Accent 2 PHPDOCX" w:semiHidden="0" w:uiPriority="65" w:unhideWhenUsed="0"/>
    <w:lsdException w:name="Medium List 2 Accent 2 PHPDOCX" w:semiHidden="0" w:uiPriority="66" w:unhideWhenUsed="0"/>
    <w:lsdException w:name="Medium Grid 1 Accent 2 PHPDOCX" w:semiHidden="0" w:uiPriority="67" w:unhideWhenUsed="0"/>
    <w:lsdException w:name="Medium Grid 2 Accent 2 PHPDOCX" w:semiHidden="0" w:uiPriority="68" w:unhideWhenUsed="0"/>
    <w:lsdException w:name="Medium Grid 3 Accent 2 PHPDOCX" w:semiHidden="0" w:uiPriority="69" w:unhideWhenUsed="0"/>
    <w:lsdException w:name="Dark List Accent 2 PHPDOCX" w:semiHidden="0" w:uiPriority="70" w:unhideWhenUsed="0"/>
    <w:lsdException w:name="Colorful Shading Accent 2 PHPDOCX" w:semiHidden="0" w:uiPriority="71" w:unhideWhenUsed="0"/>
    <w:lsdException w:name="Colorful List Accent 2 PHPDOCX" w:semiHidden="0" w:uiPriority="72" w:unhideWhenUsed="0"/>
    <w:lsdException w:name="Colorful Grid Accent 2 PHPDOCX" w:semiHidden="0" w:uiPriority="73" w:unhideWhenUsed="0"/>
    <w:lsdException w:name="Light Shading Accent 3 PHPDOCX" w:semiHidden="0" w:uiPriority="60" w:unhideWhenUsed="0"/>
    <w:lsdException w:name="Light List Accent 3 PHPDOCX" w:semiHidden="0" w:uiPriority="61" w:unhideWhenUsed="0"/>
    <w:lsdException w:name="Light Grid Accent 3 PHPDOCX" w:semiHidden="0" w:uiPriority="62" w:unhideWhenUsed="0"/>
    <w:lsdException w:name="Medium Shading 1 Accent 3 PHPDOCX" w:semiHidden="0" w:uiPriority="63" w:unhideWhenUsed="0"/>
    <w:lsdException w:name="Medium Shading 2 Accent 3 PHPDOCX" w:semiHidden="0" w:uiPriority="64" w:unhideWhenUsed="0"/>
    <w:lsdException w:name="Medium List 1 Accent 3 PHPDOCX" w:semiHidden="0" w:uiPriority="65" w:unhideWhenUsed="0"/>
    <w:lsdException w:name="Medium List 2 Accent 3 PHPDOCX" w:semiHidden="0" w:uiPriority="66" w:unhideWhenUsed="0"/>
    <w:lsdException w:name="Medium Grid 1 Accent 3 PHPDOCX" w:semiHidden="0" w:uiPriority="67" w:unhideWhenUsed="0"/>
    <w:lsdException w:name="Medium Grid 2 Accent 3 PHPDOCX" w:semiHidden="0" w:uiPriority="68" w:unhideWhenUsed="0"/>
    <w:lsdException w:name="Medium Grid 3 Accent 3 PHPDOCX" w:semiHidden="0" w:uiPriority="69" w:unhideWhenUsed="0"/>
    <w:lsdException w:name="Dark List Accent 3 PHPDOCX" w:semiHidden="0" w:uiPriority="70" w:unhideWhenUsed="0"/>
    <w:lsdException w:name="Colorful Shading Accent 3 PHPDOCX" w:semiHidden="0" w:uiPriority="71" w:unhideWhenUsed="0"/>
    <w:lsdException w:name="Colorful List Accent 3 PHPDOCX" w:semiHidden="0" w:uiPriority="72" w:unhideWhenUsed="0"/>
    <w:lsdException w:name="Colorful Grid Accent 3 PHPDOCX" w:semiHidden="0" w:uiPriority="73" w:unhideWhenUsed="0"/>
    <w:lsdException w:name="Light Shading Accent 4 PHPDOCX" w:semiHidden="0" w:uiPriority="60" w:unhideWhenUsed="0"/>
    <w:lsdException w:name="Light List Accent 4 PHPDOCX" w:semiHidden="0" w:uiPriority="61" w:unhideWhenUsed="0"/>
    <w:lsdException w:name="Light Grid Accent 4 PHPDOCX" w:semiHidden="0" w:uiPriority="62" w:unhideWhenUsed="0"/>
    <w:lsdException w:name="Medium Shading 1 Accent 4 PHPDOCX" w:semiHidden="0" w:uiPriority="63" w:unhideWhenUsed="0"/>
    <w:lsdException w:name="Medium Shading 2 Accent 4 PHPDOCX" w:semiHidden="0" w:uiPriority="64" w:unhideWhenUsed="0"/>
    <w:lsdException w:name="Medium List 1 Accent 4 PHPDOCX" w:semiHidden="0" w:uiPriority="65" w:unhideWhenUsed="0"/>
    <w:lsdException w:name="Medium List 2 Accent 4 PHPDOCX" w:semiHidden="0" w:uiPriority="66" w:unhideWhenUsed="0"/>
    <w:lsdException w:name="Medium Grid 1 Accent 4 PHPDOCX" w:semiHidden="0" w:uiPriority="67" w:unhideWhenUsed="0"/>
    <w:lsdException w:name="Medium Grid 2 Accent 4 PHPDOCX" w:semiHidden="0" w:uiPriority="68" w:unhideWhenUsed="0"/>
    <w:lsdException w:name="Medium Grid 3 Accent 4 PHPDOCX" w:semiHidden="0" w:uiPriority="69" w:unhideWhenUsed="0"/>
    <w:lsdException w:name="Dark List Accent 4 PHPDOCX" w:semiHidden="0" w:uiPriority="70" w:unhideWhenUsed="0"/>
    <w:lsdException w:name="Colorful Shading Accent 4 PHPDOCX" w:semiHidden="0" w:uiPriority="71" w:unhideWhenUsed="0"/>
    <w:lsdException w:name="Colorful List Accent 4 PHPDOCX" w:semiHidden="0" w:uiPriority="72" w:unhideWhenUsed="0"/>
    <w:lsdException w:name="Colorful Grid Accent 4 PHPDOCX" w:semiHidden="0" w:uiPriority="73" w:unhideWhenUsed="0"/>
    <w:lsdException w:name="Light Shading Accent 5 PHPDOCX" w:semiHidden="0" w:uiPriority="60" w:unhideWhenUsed="0"/>
    <w:lsdException w:name="Light List Accent 5 PHPDOCX" w:semiHidden="0" w:uiPriority="61" w:unhideWhenUsed="0"/>
    <w:lsdException w:name="Light Grid Accent 5 PHPDOCX" w:semiHidden="0" w:uiPriority="62" w:unhideWhenUsed="0"/>
    <w:lsdException w:name="Medium Shading 1 Accent 5 PHPDOCX" w:semiHidden="0" w:uiPriority="63" w:unhideWhenUsed="0"/>
    <w:lsdException w:name="Medium Shading 2 Accent 5 PHPDOCX" w:semiHidden="0" w:uiPriority="64" w:unhideWhenUsed="0"/>
    <w:lsdException w:name="Medium List 1 Accent 5 PHPDOCX" w:semiHidden="0" w:uiPriority="65" w:unhideWhenUsed="0"/>
    <w:lsdException w:name="Medium List 2 Accent 5 PHPDOCX" w:semiHidden="0" w:uiPriority="66" w:unhideWhenUsed="0"/>
    <w:lsdException w:name="Medium Grid 1 Accent 5 PHPDOCX" w:semiHidden="0" w:uiPriority="67" w:unhideWhenUsed="0"/>
    <w:lsdException w:name="Medium Grid 2 Accent 5 PHPDOCX" w:semiHidden="0" w:uiPriority="68" w:unhideWhenUsed="0"/>
    <w:lsdException w:name="Medium Grid 3 Accent 5 PHPDOCX" w:semiHidden="0" w:uiPriority="69" w:unhideWhenUsed="0"/>
    <w:lsdException w:name="Dark List Accent 5 PHPDOCX" w:semiHidden="0" w:uiPriority="70" w:unhideWhenUsed="0"/>
    <w:lsdException w:name="Colorful Shading Accent 5 PHPDOCX" w:semiHidden="0" w:uiPriority="71" w:unhideWhenUsed="0"/>
    <w:lsdException w:name="Colorful List Accent 5 PHPDOCX" w:semiHidden="0" w:uiPriority="72" w:unhideWhenUsed="0"/>
    <w:lsdException w:name="Colorful Grid Accent 5 PHPDOCX" w:semiHidden="0" w:uiPriority="73" w:unhideWhenUsed="0"/>
    <w:lsdException w:name="Light Shading Accent 6 PHPDOCX" w:semiHidden="0" w:uiPriority="60" w:unhideWhenUsed="0"/>
    <w:lsdException w:name="Light List Accent 6 PHPDOCX" w:semiHidden="0" w:uiPriority="61" w:unhideWhenUsed="0"/>
    <w:lsdException w:name="Light Grid Accent 6 PHPDOCX" w:semiHidden="0" w:uiPriority="62" w:unhideWhenUsed="0"/>
    <w:lsdException w:name="Medium Shading 1 Accent 6 PHPDOCX" w:semiHidden="0" w:uiPriority="63" w:unhideWhenUsed="0"/>
    <w:lsdException w:name="Medium Shading 2 Accent 6 PHPDOCX" w:semiHidden="0" w:uiPriority="64" w:unhideWhenUsed="0"/>
    <w:lsdException w:name="Medium List 1 Accent 6 PHPDOCX" w:semiHidden="0" w:uiPriority="65" w:unhideWhenUsed="0"/>
    <w:lsdException w:name="Medium List 2 Accent 6 PHPDOCX" w:semiHidden="0" w:uiPriority="66" w:unhideWhenUsed="0"/>
    <w:lsdException w:name="Medium Grid 1 Accent 6 PHPDOCX" w:semiHidden="0" w:uiPriority="67" w:unhideWhenUsed="0"/>
    <w:lsdException w:name="Medium Grid 2 Accent 6 PHPDOCX" w:semiHidden="0" w:uiPriority="68" w:unhideWhenUsed="0"/>
    <w:lsdException w:name="Medium Grid 3 Accent 6 PHPDOCX" w:semiHidden="0" w:uiPriority="69" w:unhideWhenUsed="0"/>
    <w:lsdException w:name="Dark List Accent 6 PHPDOCX" w:semiHidden="0" w:uiPriority="70" w:unhideWhenUsed="0"/>
    <w:lsdException w:name="Colorful Shading Accent 6 PHPDOCX" w:semiHidden="0" w:uiPriority="71" w:unhideWhenUsed="0"/>
    <w:lsdException w:name="Colorful List Accent 6 PHPDOCX" w:semiHidden="0" w:uiPriority="72" w:unhideWhenUsed="0"/>
    <w:lsdException w:name="Colorful Grid Accent 6 PHPDOCX" w:semiHidden="0" w:uiPriority="73" w:unhideWhenUsed="0"/>
    <w:lsdException w:name="Subtle Emphasis PHPDOCX" w:semiHidden="0" w:uiPriority="19" w:unhideWhenUsed="0" w:qFormat="1"/>
    <w:lsdException w:name="Intense Emphasis PHPDOCX" w:semiHidden="0" w:uiPriority="21" w:unhideWhenUsed="0" w:qFormat="1"/>
    <w:lsdException w:name="Subtle Reference PHPDOCX" w:semiHidden="0" w:uiPriority="31" w:unhideWhenUsed="0" w:qFormat="1"/>
    <w:lsdException w:name="Intense Reference PHPDOCX" w:semiHidden="0" w:uiPriority="32" w:unhideWhenUsed="0" w:qFormat="1"/>
    <w:lsdException w:name="Book Title PHPDOCX" w:semiHidden="0" w:uiPriority="33" w:unhideWhenUsed="0" w:qFormat="1"/>
    <w:lsdException w:name="Bibliography PHPDOCX" w:uiPriority="37"/>
    <w:lsdException w:name="TOC Heading PHPDOCX" w:uiPriority="39" w:qFormat="1"/>
  </w:latentStyles>
  <w:style w:type="paragraph" w:default="1" w:styleId="Normal">
    <w:name w:val="Normal"/>
    <w:qFormat/>
    <w:rsid w:val="000F6147"/>
  </w:style>
  <w:style w:type="paragraph" w:styleId="Heading1PHPDOCX">
    <w:name w:val="Heading 1 PHPDOCX"/>
    <w:basedOn w:val="Normal"/>
    <w:next w:val="Normal"/>
    <w:link w:val="Heading1CarPHPDOCX"/>
    <w:uiPriority w:val="9"/>
    <w:qFormat/>
    <w:rsid w:val="00DF064E"/>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PHPDOCX">
    <w:name w:val="Heading 2 PHPDOCX"/>
    <w:basedOn w:val="Normal"/>
    <w:next w:val="Normal"/>
    <w:link w:val="Heading2CarPHPDOCX"/>
    <w:uiPriority w:val="9"/>
    <w:unhideWhenUsed/>
    <w:qFormat/>
    <w:rsid w:val="00DF064E"/>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PHPDOCX">
    <w:name w:val="Heading 3 PHPDOCX"/>
    <w:basedOn w:val="Normal"/>
    <w:next w:val="Normal"/>
    <w:link w:val="Heading3CarPHPDOCX"/>
    <w:uiPriority w:val="9"/>
    <w:unhideWhenUsed/>
    <w:qFormat/>
    <w:rsid w:val="00DF064E"/>
    <w:pPr>
      <w:keepNext/>
      <w:keepLines/>
      <w:spacing w:before="200" w:after="0"/>
      <w:outlineLvl w:val="2"/>
    </w:pPr>
    <w:rPr>
      <w:rFonts w:asciiTheme="majorHAnsi" w:eastAsiaTheme="majorEastAsia" w:hAnsiTheme="majorHAnsi" w:cstheme="majorBidi"/>
      <w:b/>
      <w:bCs/>
      <w:color w:val="4F81BD" w:themeColor="accent1"/>
    </w:rPr>
  </w:style>
  <w:style w:type="paragraph" w:styleId="Heading4PHPDOCX">
    <w:name w:val="Heading 4 PHPDOCX"/>
    <w:basedOn w:val="Normal"/>
    <w:next w:val="Normal"/>
    <w:link w:val="Heading4CarPHPDOCX"/>
    <w:uiPriority w:val="9"/>
    <w:unhideWhenUsed/>
    <w:qFormat/>
    <w:rsid w:val="00DF064E"/>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PHPDOCX">
    <w:name w:val="Heading 5 PHPDOCX"/>
    <w:basedOn w:val="Normal"/>
    <w:next w:val="Normal"/>
    <w:link w:val="Heading5CarPHPDOCX"/>
    <w:uiPriority w:val="9"/>
    <w:unhideWhenUsed/>
    <w:qFormat/>
    <w:rsid w:val="00DF064E"/>
    <w:pPr>
      <w:keepNext/>
      <w:keepLines/>
      <w:spacing w:before="200" w:after="0"/>
      <w:outlineLvl w:val="4"/>
    </w:pPr>
    <w:rPr>
      <w:rFonts w:asciiTheme="majorHAnsi" w:eastAsiaTheme="majorEastAsia" w:hAnsiTheme="majorHAnsi" w:cstheme="majorBidi"/>
      <w:color w:val="243F60" w:themeColor="accent1" w:themeShade="7F"/>
    </w:rPr>
  </w:style>
  <w:style w:type="paragraph" w:styleId="Heading6PHPDOCX">
    <w:name w:val="Heading 6 PHPDOCX"/>
    <w:basedOn w:val="Normal"/>
    <w:next w:val="Normal"/>
    <w:link w:val="Heading6CarPHPDOCX"/>
    <w:uiPriority w:val="9"/>
    <w:unhideWhenUsed/>
    <w:qFormat/>
    <w:rsid w:val="00DF064E"/>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Heading7PHPDOCX">
    <w:name w:val="Heading 7 PHPDOCX"/>
    <w:basedOn w:val="Normal"/>
    <w:next w:val="Normal"/>
    <w:link w:val="Heading7CarPHPDOCX"/>
    <w:uiPriority w:val="9"/>
    <w:unhideWhenUsed/>
    <w:qFormat/>
    <w:rsid w:val="00DF064E"/>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PHPDOCX">
    <w:name w:val="Heading 8 PHPDOCX"/>
    <w:basedOn w:val="Normal"/>
    <w:next w:val="Normal"/>
    <w:link w:val="Heading8CarPHPDOCX"/>
    <w:uiPriority w:val="9"/>
    <w:semiHidden/>
    <w:unhideWhenUsed/>
    <w:qFormat/>
    <w:rsid w:val="00DF064E"/>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Heading9PHPDOCX">
    <w:name w:val="Heading 9 PHPDOCX"/>
    <w:basedOn w:val="Normal"/>
    <w:next w:val="Normal"/>
    <w:link w:val="Heading9CarPHPDOCX"/>
    <w:uiPriority w:val="9"/>
    <w:semiHidden/>
    <w:unhideWhenUsed/>
    <w:qFormat/>
    <w:rsid w:val="00DF064E"/>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styleId="CommentReferencePHPDOCX">
    <w:name w:val="annotation reference PHPDOCX"/>
    <w:basedOn w:val="DefaultParagraphFontPHPDOCX"/>
    <w:uiPriority w:val="99"/>
    <w:semiHidden/>
    <w:unhideWhenUsed/>
    <w:rsid w:val="00E139EA"/>
    <w:rPr>
      <w:sz w:val="16"/>
      <w:szCs w:val="16"/>
    </w:rPr>
  </w:style>
  <w:style w:type="paragraph" w:styleId="CommentTextPHPDOCX">
    <w:name w:val="annotation text PHPDOCX"/>
    <w:basedOn w:val="Normal"/>
    <w:link w:val="CommentTextCharPHPDOCX"/>
    <w:uiPriority w:val="99"/>
    <w:semiHidden/>
    <w:unhideWhenUsed/>
    <w:rsid w:val="00E139EA"/>
    <w:pPr>
      <w:spacing w:line="240" w:lineRule="auto"/>
    </w:pPr>
    <w:rPr>
      <w:sz w:val="20"/>
      <w:szCs w:val="20"/>
    </w:rPr>
  </w:style>
  <w:style w:type="character" w:customStyle="1" w:styleId="CommentTextCharPHPDOCX">
    <w:name w:val="Comment Text Char PHPDOCX"/>
    <w:basedOn w:val="DefaultParagraphFontPHPDOCX"/>
    <w:link w:val="CommentTextPHPDOCX"/>
    <w:uiPriority w:val="99"/>
    <w:semiHidden/>
    <w:rsid w:val="00E139EA"/>
    <w:rPr>
      <w:sz w:val="20"/>
      <w:szCs w:val="20"/>
    </w:rPr>
  </w:style>
  <w:style w:type="paragraph" w:styleId="CommentSubjectPHPDOCX">
    <w:name w:val="annotation subject PHPDOCX"/>
    <w:basedOn w:val="CommentTextPHPDOCX"/>
    <w:next w:val="CommentTextPHPDOCX"/>
    <w:link w:val="CommentSubjectCharPHPDOCX"/>
    <w:uiPriority w:val="99"/>
    <w:semiHidden/>
    <w:unhideWhenUsed/>
    <w:rsid w:val="00E139EA"/>
    <w:rPr>
      <w:b/>
      <w:bCs/>
    </w:rPr>
  </w:style>
  <w:style w:type="character" w:customStyle="1" w:styleId="CommentSubjectCharPHPDOCX">
    <w:name w:val="Comment Subject Char PHPDOCX"/>
    <w:basedOn w:val="CommentTextCharPHPDOCX"/>
    <w:link w:val="CommentSubjectPHPDOCX"/>
    <w:uiPriority w:val="99"/>
    <w:semiHidden/>
    <w:rsid w:val="00E139EA"/>
    <w:rPr>
      <w:b/>
      <w:bCs/>
      <w:sz w:val="20"/>
      <w:szCs w:val="20"/>
    </w:rPr>
  </w:style>
  <w:style w:type="paragraph" w:styleId="BalloonTextPHPDOCX">
    <w:name w:val="Balloon Text PHPDOCX"/>
    <w:basedOn w:val="Normal"/>
    <w:link w:val="BalloonTextCharPHPDOCX"/>
    <w:uiPriority w:val="99"/>
    <w:semiHidden/>
    <w:unhideWhenUsed/>
    <w:rsid w:val="00E139EA"/>
    <w:pPr>
      <w:spacing w:after="0" w:line="240" w:lineRule="auto"/>
    </w:pPr>
    <w:rPr>
      <w:rFonts w:ascii="Tahoma" w:hAnsi="Tahoma" w:cs="Tahoma"/>
      <w:sz w:val="16"/>
      <w:szCs w:val="16"/>
    </w:rPr>
  </w:style>
  <w:style w:type="character" w:customStyle="1" w:styleId="BalloonTextCharPHPDOCX">
    <w:name w:val="Balloon Text Char PHPDOCX"/>
    <w:basedOn w:val="DefaultParagraphFontPHPDOCX"/>
    <w:link w:val="BalloonTextPHPDOCX"/>
    <w:uiPriority w:val="99"/>
    <w:semiHidden/>
    <w:rsid w:val="00E139EA"/>
    <w:rPr>
      <w:rFonts w:ascii="Tahoma" w:hAnsi="Tahoma" w:cs="Tahoma"/>
      <w:sz w:val="16"/>
      <w:szCs w:val="16"/>
    </w:rPr>
  </w:style>
  <w:style w:type="paragraph" w:styleId="footnoteTextPHPDOCX">
    <w:name w:val="footnote Text PHPDOCX"/>
    <w:basedOn w:val="Normal"/>
    <w:link w:val="footnoteTextCarPHPDOCX"/>
    <w:uiPriority w:val="99"/>
    <w:semiHidden/>
    <w:unhideWhenUsed/>
    <w:rsid w:val="006E0FDA"/>
    <w:pPr>
      <w:spacing w:after="0" w:line="240" w:lineRule="auto"/>
    </w:pPr>
    <w:rPr>
      <w:sz w:val="20"/>
      <w:szCs w:val="20"/>
    </w:rPr>
  </w:style>
  <w:style w:type="character" w:customStyle="1" w:styleId="footnoteTextCarPHPDOCX">
    <w:name w:val="footnote text Car PHPDOCX"/>
    <w:basedOn w:val="DefaultParagraphFontPHPDOCX"/>
    <w:link w:val="footnoteTextPHPDOCX"/>
    <w:uiPriority w:val="99"/>
    <w:semiHidden/>
    <w:rsid w:val="006E0FDA"/>
    <w:rPr>
      <w:sz w:val="20"/>
      <w:szCs w:val="20"/>
    </w:rPr>
  </w:style>
  <w:style w:type="character" w:styleId="footnoteReferencePHPDOCX">
    <w:name w:val="footnote Reference PHPDOCX"/>
    <w:basedOn w:val="DefaultParagraphFontPHPDOCX"/>
    <w:uiPriority w:val="99"/>
    <w:semiHidden/>
    <w:unhideWhenUsed/>
    <w:rsid w:val="006E0FDA"/>
    <w:rPr>
      <w:vertAlign w:val="superscript"/>
    </w:rPr>
  </w:style>
  <w:style w:type="paragraph" w:styleId="endnoteTextPHPDOCX">
    <w:name w:val="endnote Text PHPDOCX"/>
    <w:basedOn w:val="Normal"/>
    <w:link w:val="endnoteTextCarPHPDOCX"/>
    <w:uiPriority w:val="99"/>
    <w:semiHidden/>
    <w:unhideWhenUsed/>
    <w:rsid w:val="006E0FDA"/>
    <w:pPr>
      <w:spacing w:after="0" w:line="240" w:lineRule="auto"/>
    </w:pPr>
    <w:rPr>
      <w:sz w:val="20"/>
      <w:szCs w:val="20"/>
    </w:rPr>
  </w:style>
  <w:style w:type="character" w:customStyle="1" w:styleId="endnoteTextCarPHPDOCX">
    <w:name w:val="endnote text Car PHPDOCX"/>
    <w:basedOn w:val="DefaultParagraphFontPHPDOCX"/>
    <w:link w:val="endnoteTextPHPDOCX"/>
    <w:uiPriority w:val="99"/>
    <w:semiHidden/>
    <w:rsid w:val="006E0FDA"/>
    <w:rPr>
      <w:sz w:val="20"/>
      <w:szCs w:val="20"/>
    </w:rPr>
  </w:style>
  <w:style w:type="character" w:styleId="endnoteReferencePHPDOCX">
    <w:name w:val="endnote Reference PHPDOCX"/>
    <w:basedOn w:val="DefaultParagraphFontPHPDOCX"/>
    <w:uiPriority w:val="99"/>
    <w:semiHidden/>
    <w:unhideWhenUsed/>
    <w:rsid w:val="006E0FDA"/>
    <w:rPr>
      <w:vertAlign w:val="superscript"/>
    </w:rPr>
  </w:style>
  <w:style w:type="character" w:default="1" w:styleId="DefaultParagraphFontPHPDOCX">
    <w:name w:val="Default Paragraph Font PHPDOCX"/>
    <w:uiPriority w:val="1"/>
    <w:semiHidden/>
    <w:unhideWhenUsed/>
  </w:style>
  <w:style w:type="numbering" w:default="1" w:styleId="NoListPHPDOCX">
    <w:name w:val="No List PHPDOCX"/>
    <w:uiPriority w:val="99"/>
    <w:semiHidden/>
    <w:unhideWhenUsed/>
  </w:style>
  <w:style w:type="character" w:customStyle="1" w:styleId="Heading1CarPHPDOCX">
    <w:name w:val="Heading 1 Car PHPDOCX"/>
    <w:basedOn w:val="DefaultParagraphFontPHPDOCX"/>
    <w:link w:val="Heading1PHPDOCX"/>
    <w:uiPriority w:val="9"/>
    <w:rsid w:val="00DF064E"/>
    <w:rPr>
      <w:rFonts w:asciiTheme="majorHAnsi" w:eastAsiaTheme="majorEastAsia" w:hAnsiTheme="majorHAnsi" w:cstheme="majorBidi"/>
      <w:b/>
      <w:bCs/>
      <w:color w:val="365F91" w:themeColor="accent1" w:themeShade="BF"/>
      <w:sz w:val="28"/>
      <w:szCs w:val="28"/>
    </w:rPr>
  </w:style>
  <w:style w:type="character" w:customStyle="1" w:styleId="Heading2CarPHPDOCX">
    <w:name w:val="Heading 2 Car PHPDOCX"/>
    <w:basedOn w:val="DefaultParagraphFontPHPDOCX"/>
    <w:link w:val="Heading2PHPDOCX"/>
    <w:uiPriority w:val="9"/>
    <w:rsid w:val="00DF064E"/>
    <w:rPr>
      <w:rFonts w:asciiTheme="majorHAnsi" w:eastAsiaTheme="majorEastAsia" w:hAnsiTheme="majorHAnsi" w:cstheme="majorBidi"/>
      <w:b/>
      <w:bCs/>
      <w:color w:val="4F81BD" w:themeColor="accent1"/>
      <w:sz w:val="26"/>
      <w:szCs w:val="26"/>
    </w:rPr>
  </w:style>
  <w:style w:type="character" w:customStyle="1" w:styleId="Heading3CarPHPDOCX">
    <w:name w:val="Heading 3 Car PHPDOCX"/>
    <w:basedOn w:val="DefaultParagraphFontPHPDOCX"/>
    <w:link w:val="Heading3PHPDOCX"/>
    <w:uiPriority w:val="9"/>
    <w:rsid w:val="00DF064E"/>
    <w:rPr>
      <w:rFonts w:asciiTheme="majorHAnsi" w:eastAsiaTheme="majorEastAsia" w:hAnsiTheme="majorHAnsi" w:cstheme="majorBidi"/>
      <w:b/>
      <w:bCs/>
      <w:color w:val="4F81BD" w:themeColor="accent1"/>
    </w:rPr>
  </w:style>
  <w:style w:type="character" w:customStyle="1" w:styleId="Heading4CarPHPDOCX">
    <w:name w:val="Heading 4 Car PHPDOCX"/>
    <w:basedOn w:val="DefaultParagraphFontPHPDOCX"/>
    <w:link w:val="Heading4PHPDOCX"/>
    <w:uiPriority w:val="9"/>
    <w:rsid w:val="00DF064E"/>
    <w:rPr>
      <w:rFonts w:asciiTheme="majorHAnsi" w:eastAsiaTheme="majorEastAsia" w:hAnsiTheme="majorHAnsi" w:cstheme="majorBidi"/>
      <w:b/>
      <w:bCs/>
      <w:i/>
      <w:iCs/>
      <w:color w:val="4F81BD" w:themeColor="accent1"/>
    </w:rPr>
  </w:style>
  <w:style w:type="character" w:customStyle="1" w:styleId="Heading5CarPHPDOCX">
    <w:name w:val="Heading 5 Car PHPDOCX"/>
    <w:basedOn w:val="DefaultParagraphFontPHPDOCX"/>
    <w:link w:val="Heading5PHPDOCX"/>
    <w:uiPriority w:val="9"/>
    <w:rsid w:val="00DF064E"/>
    <w:rPr>
      <w:rFonts w:asciiTheme="majorHAnsi" w:eastAsiaTheme="majorEastAsia" w:hAnsiTheme="majorHAnsi" w:cstheme="majorBidi"/>
      <w:color w:val="243F60" w:themeColor="accent1" w:themeShade="7F"/>
    </w:rPr>
  </w:style>
  <w:style w:type="character" w:customStyle="1" w:styleId="Heading6CarPHPDOCX">
    <w:name w:val="Heading 6 Car PHPDOCX"/>
    <w:basedOn w:val="DefaultParagraphFontPHPDOCX"/>
    <w:link w:val="Heading6PHPDOCX"/>
    <w:uiPriority w:val="9"/>
    <w:rsid w:val="00DF064E"/>
    <w:rPr>
      <w:rFonts w:asciiTheme="majorHAnsi" w:eastAsiaTheme="majorEastAsia" w:hAnsiTheme="majorHAnsi" w:cstheme="majorBidi"/>
      <w:i/>
      <w:iCs/>
      <w:color w:val="243F60" w:themeColor="accent1" w:themeShade="7F"/>
    </w:rPr>
  </w:style>
  <w:style w:type="character" w:customStyle="1" w:styleId="Heading7CarPHPDOCX">
    <w:name w:val="Heading 7 Car PHPDOCX"/>
    <w:basedOn w:val="DefaultParagraphFontPHPDOCX"/>
    <w:link w:val="Heading7PHPDOCX"/>
    <w:uiPriority w:val="9"/>
    <w:rsid w:val="00DF064E"/>
    <w:rPr>
      <w:rFonts w:asciiTheme="majorHAnsi" w:eastAsiaTheme="majorEastAsia" w:hAnsiTheme="majorHAnsi" w:cstheme="majorBidi"/>
      <w:i/>
      <w:iCs/>
      <w:color w:val="404040" w:themeColor="text1" w:themeTint="BF"/>
    </w:rPr>
  </w:style>
  <w:style w:type="paragraph" w:styleId="TitlePHPDOCX">
    <w:name w:val="Title PHPDOCX"/>
    <w:basedOn w:val="Normal"/>
    <w:next w:val="Normal"/>
    <w:link w:val="TitleCarPHPDOCX"/>
    <w:uiPriority w:val="10"/>
    <w:qFormat/>
    <w:rsid w:val="00DF064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arPHPDOCX">
    <w:name w:val="Title Car PHPDOCX"/>
    <w:basedOn w:val="DefaultParagraphFontPHPDOCX"/>
    <w:link w:val="TitlePHPDOCX"/>
    <w:uiPriority w:val="10"/>
    <w:rsid w:val="00DF064E"/>
    <w:rPr>
      <w:rFonts w:asciiTheme="majorHAnsi" w:eastAsiaTheme="majorEastAsia" w:hAnsiTheme="majorHAnsi" w:cstheme="majorBidi"/>
      <w:color w:val="17365D" w:themeColor="text2" w:themeShade="BF"/>
      <w:spacing w:val="5"/>
      <w:kern w:val="28"/>
      <w:sz w:val="52"/>
      <w:szCs w:val="52"/>
    </w:rPr>
  </w:style>
  <w:style w:type="paragraph" w:styleId="SubtitlePHPDOCX">
    <w:name w:val="Subtitle PHPDOCX"/>
    <w:basedOn w:val="Normal"/>
    <w:next w:val="Normal"/>
    <w:link w:val="SubtitleCarPHPDOCX"/>
    <w:uiPriority w:val="11"/>
    <w:qFormat/>
    <w:rsid w:val="00DF064E"/>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arPHPDOCX">
    <w:name w:val="Subtitle Car PHPDOCX"/>
    <w:basedOn w:val="DefaultParagraphFontPHPDOCX"/>
    <w:link w:val="SubtitlePHPDOCX"/>
    <w:uiPriority w:val="11"/>
    <w:rsid w:val="00DF064E"/>
    <w:rPr>
      <w:rFonts w:asciiTheme="majorHAnsi" w:eastAsiaTheme="majorEastAsia" w:hAnsiTheme="majorHAnsi" w:cstheme="majorBidi"/>
      <w:i/>
      <w:iCs/>
      <w:color w:val="4F81BD" w:themeColor="accent1"/>
      <w:spacing w:val="15"/>
      <w:sz w:val="24"/>
      <w:szCs w:val="24"/>
    </w:rPr>
  </w:style>
  <w:style w:type="character" w:styleId="SubtleEmphasisPHPDOCX">
    <w:name w:val="Subtle Emphasis PHPDOCX"/>
    <w:basedOn w:val="DefaultParagraphFontPHPDOCX"/>
    <w:uiPriority w:val="19"/>
    <w:qFormat/>
    <w:rsid w:val="00DF064E"/>
    <w:rPr>
      <w:i/>
      <w:iCs/>
      <w:color w:val="808080" w:themeColor="text1" w:themeTint="7F"/>
    </w:rPr>
  </w:style>
  <w:style w:type="character" w:styleId="EmphasisPHPDOCX">
    <w:name w:val="Emphasis PHPDOCX"/>
    <w:basedOn w:val="DefaultParagraphFontPHPDOCX"/>
    <w:uiPriority w:val="20"/>
    <w:qFormat/>
    <w:rsid w:val="00DF064E"/>
    <w:rPr>
      <w:i/>
      <w:iCs/>
    </w:rPr>
  </w:style>
  <w:style w:type="character" w:styleId="IntenseEmphasisPHPDOCX">
    <w:name w:val="Intense Emphasis PHPDOCX"/>
    <w:basedOn w:val="DefaultParagraphFontPHPDOCX"/>
    <w:uiPriority w:val="21"/>
    <w:qFormat/>
    <w:rsid w:val="00DF064E"/>
    <w:rPr>
      <w:b/>
      <w:bCs/>
      <w:i/>
      <w:iCs/>
      <w:color w:val="4F81BD" w:themeColor="accent1"/>
    </w:rPr>
  </w:style>
  <w:style w:type="character" w:styleId="Strong PHPDOCX">
    <w:name w:val="Strong PHPDOCX"/>
    <w:basedOn w:val="DefaultParagraphFontPHPDOCX"/>
    <w:uiPriority w:val="22"/>
    <w:qFormat/>
    <w:rsid w:val="00DF064E"/>
    <w:rPr>
      <w:b/>
      <w:bCs/>
    </w:rPr>
  </w:style>
  <w:style w:type="paragraph" w:styleId="QuotePHPDOCX">
    <w:name w:val="Quote PHPDOCX"/>
    <w:basedOn w:val="Normal"/>
    <w:next w:val="Normal"/>
    <w:link w:val="QuoteCarPHPDOCX"/>
    <w:uiPriority w:val="29"/>
    <w:qFormat/>
    <w:rsid w:val="00DF064E"/>
    <w:rPr>
      <w:i/>
      <w:iCs/>
      <w:color w:val="000000" w:themeColor="text1"/>
    </w:rPr>
  </w:style>
  <w:style w:type="character" w:customStyle="1" w:styleId="QuoteCarPHPDOCX">
    <w:name w:val="Quote Car PHPDOCX"/>
    <w:basedOn w:val="DefaultParagraphFontPHPDOCX"/>
    <w:link w:val="QuotePHPDOCX"/>
    <w:uiPriority w:val="29"/>
    <w:rsid w:val="00DF064E"/>
    <w:rPr>
      <w:i/>
      <w:iCs/>
      <w:color w:val="000000" w:themeColor="text1"/>
    </w:rPr>
  </w:style>
  <w:style w:type="paragraph" w:styleId="IntenseQuotePHPDOCX">
    <w:name w:val="Intense Quote PHPDOCX"/>
    <w:basedOn w:val="Normal"/>
    <w:next w:val="Normal"/>
    <w:link w:val="IntenseQuoteCarPHPDOCX"/>
    <w:uiPriority w:val="30"/>
    <w:qFormat/>
    <w:rsid w:val="00DF064E"/>
    <w:pPr>
      <w:pBdr>
        <w:bottom w:val="single" w:sz="4" w:space="4" w:color="4F81BD" w:themeColor="accent1"/>
      </w:pBdr>
      <w:spacing w:before="200" w:after="280"/>
      <w:ind w:left="936" w:right="936"/>
    </w:pPr>
    <w:rPr>
      <w:b/>
      <w:bCs/>
      <w:i/>
      <w:iCs/>
      <w:color w:val="4F81BD" w:themeColor="accent1"/>
    </w:rPr>
  </w:style>
  <w:style w:type="character" w:customStyle="1" w:styleId="IntenseQuoteCarPHPDOCX">
    <w:name w:val="Intense Quote Car PHPDOCX"/>
    <w:basedOn w:val="DefaultParagraphFontPHPDOCX"/>
    <w:link w:val="IntenseQuotePHPDOCX"/>
    <w:uiPriority w:val="30"/>
    <w:rsid w:val="00DF064E"/>
    <w:rPr>
      <w:b/>
      <w:bCs/>
      <w:i/>
      <w:iCs/>
      <w:color w:val="4F81BD" w:themeColor="accent1"/>
    </w:rPr>
  </w:style>
  <w:style w:type="character" w:styleId="SubtleReferencePHPDOCX">
    <w:name w:val="Subtle Reference PHPDOCX"/>
    <w:basedOn w:val="DefaultParagraphFontPHPDOCX"/>
    <w:uiPriority w:val="31"/>
    <w:qFormat/>
    <w:rsid w:val="00DF064E"/>
    <w:rPr>
      <w:smallCaps/>
      <w:color w:val="C0504D" w:themeColor="accent2"/>
      <w:u w:val="single"/>
    </w:rPr>
  </w:style>
  <w:style w:type="character" w:styleId="IntenseReferencePHPDOCX">
    <w:name w:val="Intense Reference PHPDOCX"/>
    <w:basedOn w:val="DefaultParagraphFontPHPDOCX"/>
    <w:uiPriority w:val="32"/>
    <w:qFormat/>
    <w:rsid w:val="00DF064E"/>
    <w:rPr>
      <w:b/>
      <w:bCs/>
      <w:smallCaps/>
      <w:color w:val="C0504D" w:themeColor="accent2"/>
      <w:spacing w:val="5"/>
      <w:u w:val="single"/>
    </w:rPr>
  </w:style>
  <w:style w:type="character" w:styleId="BookTitlePHPDOCX">
    <w:name w:val="Book Title PHPDOCX"/>
    <w:basedOn w:val="DefaultParagraphFontPHPDOCX"/>
    <w:uiPriority w:val="33"/>
    <w:qFormat/>
    <w:rsid w:val="00DF064E"/>
    <w:rPr>
      <w:b/>
      <w:bCs/>
      <w:smallCaps/>
      <w:spacing w:val="5"/>
    </w:rPr>
  </w:style>
  <w:style w:type="paragraph" w:styleId="ListParagraphPHPDOCX">
    <w:name w:val="List Paragraph PHPDOCX"/>
    <w:basedOn w:val="Normal"/>
    <w:uiPriority w:val="34"/>
    <w:qFormat/>
    <w:rsid w:val="00DF064E"/>
    <w:pPr>
      <w:ind w:left="720"/>
      <w:contextualSpacing/>
    </w:pPr>
  </w:style>
  <w:style w:type="paragraph" w:styleId="NoSpacingPHPDOCX">
    <w:name w:val="No Spacing PHPDOCX"/>
    <w:uiPriority w:val="1"/>
    <w:qFormat/>
    <w:rsid w:val="00DF064E"/>
    <w:pPr>
      <w:spacing w:after="0" w:line="240" w:lineRule="auto"/>
    </w:pPr>
  </w:style>
  <w:style w:type="character" w:customStyle="1" w:styleId="Heading8CarPHPDOCX">
    <w:name w:val="Heading 8 Car PHPDOCX"/>
    <w:basedOn w:val="DefaultParagraphFontPHPDOCX"/>
    <w:link w:val="Heading8PHPDOCX"/>
    <w:uiPriority w:val="9"/>
    <w:semiHidden/>
    <w:rsid w:val="00DF064E"/>
    <w:rPr>
      <w:rFonts w:asciiTheme="majorHAnsi" w:eastAsiaTheme="majorEastAsia" w:hAnsiTheme="majorHAnsi" w:cstheme="majorBidi"/>
      <w:color w:val="404040" w:themeColor="text1" w:themeTint="BF"/>
      <w:sz w:val="20"/>
      <w:szCs w:val="20"/>
    </w:rPr>
  </w:style>
  <w:style w:type="character" w:customStyle="1" w:styleId="Heading9CarPHPDOCX">
    <w:name w:val="Heading 9 Car PHPDOCX"/>
    <w:basedOn w:val="DefaultParagraphFontPHPDOCX"/>
    <w:link w:val="Heading9PHPDOCX"/>
    <w:uiPriority w:val="9"/>
    <w:semiHidden/>
    <w:rsid w:val="00DF064E"/>
    <w:rPr>
      <w:rFonts w:asciiTheme="majorHAnsi" w:eastAsiaTheme="majorEastAsia" w:hAnsiTheme="majorHAnsi" w:cstheme="majorBidi"/>
      <w:i/>
      <w:iCs/>
      <w:color w:val="404040" w:themeColor="text1" w:themeTint="BF"/>
      <w:sz w:val="20"/>
      <w:szCs w:val="20"/>
    </w:rPr>
  </w:style>
  <w:style w:type="table" w:default="1" w:styleId="NormalTablePHPDOCX">
    <w:name w:val="Normal Table PHPDOCX"/>
    <w:uiPriority w:val="99"/>
    <w:semiHidden/>
    <w:unhideWhenUsed/>
    <w:qFormat/>
    <w:tblPr>
      <w:tblInd w:w="0" w:type="dxa"/>
      <w:tblCellMar>
        <w:top w:w="0" w:type="dxa"/>
        <w:left w:w="108" w:type="dxa"/>
        <w:bottom w:w="0" w:type="dxa"/>
        <w:right w:w="108" w:type="dxa"/>
      </w:tblCellMar>
    </w:tblPr>
  </w:style>
  <w:style w:type="table" w:styleId="PlainTablePHPDOCX">
    <w:name w:val="Plain Table PHPDOCX"/>
    <w:uiPriority w:val="58"/>
    <w:pPr>
      <w:spacing w:after="0" w:line="240" w:lineRule="auto"/>
    </w:pPr>
    <w:tblPr>
      <w:tblInd w:w="0" w:type="dxa"/>
      <w:tblCellMar>
        <w:top w:w="0" w:type="dxa"/>
        <w:left w:w="108" w:type="dxa"/>
        <w:bottom w:w="0" w:type="dxa"/>
        <w:right w:w="108" w:type="dxa"/>
      </w:tblCellMar>
    </w:tblPr>
  </w:style>
  <w:style w:type="table" w:styleId="TableGridPHPDOCX">
    <w:name w:val="Table Grid PHPDOCX"/>
    <w:uiPriority w:val="59"/>
    <w:rsid w:val="00493A0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LightShadingPHPDOCX">
    <w:name w:val="Light Shading PHPDOCX"/>
    <w:uiPriority w:val="60"/>
    <w:rsid w:val="00493A0C"/>
    <w:pPr>
      <w:spacing w:after="0" w:line="240" w:lineRule="auto"/>
    </w:pPr>
    <w:rPr>
      <w:color w:val="000000" w:themeColor="text1" w:themeShade="BF"/>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customStyle="1" w:styleId="LightShadingAccent1PHPDOCX">
    <w:name w:val="Light Shading Accent 1 PHPDOCX"/>
    <w:uiPriority w:val="60"/>
    <w:rsid w:val="00493A0C"/>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LightShadingAccent2PHPDOCX">
    <w:name w:val="Light Shading Accent 2 PHPDOCX"/>
    <w:uiPriority w:val="60"/>
    <w:rsid w:val="00493A0C"/>
    <w:pPr>
      <w:spacing w:after="0" w:line="240" w:lineRule="auto"/>
    </w:pPr>
    <w:rPr>
      <w:color w:val="943634" w:themeColor="accent2" w:themeShade="BF"/>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lastRow">
      <w:pPr>
        <w:spacing w:before="0" w:after="0" w:line="240" w:lineRule="auto"/>
      </w:pPr>
      <w:rPr>
        <w:b/>
        <w:bCs/>
      </w:rPr>
      <w:tblPr/>
      <w:tcPr>
        <w:tcBorders>
          <w:top w:val="single" w:sz="8" w:space="0" w:color="C0504D" w:themeColor="accent2"/>
          <w:left w:val="nil"/>
          <w:bottom w:val="single" w:sz="8" w:space="0" w:color="C0504D"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left w:val="nil"/>
          <w:right w:val="nil"/>
          <w:insideH w:val="nil"/>
          <w:insideV w:val="nil"/>
        </w:tcBorders>
        <w:shd w:val="clear" w:color="auto" w:fill="EFD3D2" w:themeFill="accent2" w:themeFillTint="3F"/>
      </w:tcPr>
    </w:tblStylePr>
  </w:style>
  <w:style w:type="table" w:styleId="LightShadingAccent3PHPDOCX">
    <w:name w:val="Light Shading Accent 3 PHPDOCX"/>
    <w:uiPriority w:val="60"/>
    <w:rsid w:val="00493A0C"/>
    <w:pPr>
      <w:spacing w:after="0" w:line="240" w:lineRule="auto"/>
    </w:pPr>
    <w:rPr>
      <w:color w:val="76923C" w:themeColor="accent3" w:themeShade="BF"/>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LightShadingAccent4PHPDOCX">
    <w:name w:val="Light Shading Accent 4 PHPDOCX"/>
    <w:uiPriority w:val="60"/>
    <w:rsid w:val="00493A0C"/>
    <w:pPr>
      <w:spacing w:after="0" w:line="240" w:lineRule="auto"/>
    </w:pPr>
    <w:rPr>
      <w:color w:val="5F497A" w:themeColor="accent4" w:themeShade="BF"/>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LightShadingAccent5PHPDOCX">
    <w:name w:val="Light Shading Accent 5 PHPDOCX"/>
    <w:uiPriority w:val="60"/>
    <w:rsid w:val="00493A0C"/>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customStyle="1" w:styleId="LightListPHPDOCX">
    <w:name w:val="Light List PHPDOCX"/>
    <w:uiPriority w:val="61"/>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customStyle="1" w:styleId="LightListAccent1PHPDOCX">
    <w:name w:val="Light List Accent 1 PHPDOCX"/>
    <w:uiPriority w:val="61"/>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LightListAccent2PHPDOCX">
    <w:name w:val="Light List Accent 2 PHPDOCX"/>
    <w:uiPriority w:val="61"/>
    <w:rsid w:val="00493A0C"/>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C0504D" w:themeFill="accent2"/>
      </w:tcPr>
    </w:tblStylePr>
    <w:tblStylePr w:type="lastRow">
      <w:pPr>
        <w:spacing w:before="0" w:after="0" w:line="240" w:lineRule="auto"/>
      </w:pPr>
      <w:rPr>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tcBorders>
      </w:tcPr>
    </w:tblStylePr>
    <w:tblStylePr w:type="firstCol">
      <w:rPr>
        <w:b/>
        <w:bCs/>
      </w:rPr>
    </w:tblStylePr>
    <w:tblStylePr w:type="lastCol">
      <w:rPr>
        <w:b/>
        <w:bCs/>
      </w:r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style>
  <w:style w:type="table" w:styleId="LightListAccent3PHPDOCX">
    <w:name w:val="Light List Accent 3 PHPDOCX"/>
    <w:uiPriority w:val="61"/>
    <w:rsid w:val="00493A0C"/>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LightListAccent4PHPDOCX">
    <w:name w:val="Light List Accent 4 PHPDOCX"/>
    <w:uiPriority w:val="61"/>
    <w:rsid w:val="00493A0C"/>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LightListAccent5PHPDOCX">
    <w:name w:val="Light List Accent 5 PHPDOCX"/>
    <w:uiPriority w:val="61"/>
    <w:rsid w:val="00493A0C"/>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LightListAccent6PHPDOCX">
    <w:name w:val="Light List Accent 6 PHPDOCX"/>
    <w:uiPriority w:val="61"/>
    <w:rsid w:val="00493A0C"/>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GridPHPDOCX">
    <w:name w:val="Light Grid PHPDOCX"/>
    <w:uiPriority w:val="62"/>
    <w:rsid w:val="00493A0C"/>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ghtGrid1PHPDOCX">
    <w:name w:val="Light Grid 1 PHPDOCX"/>
    <w:uiPriority w:val="62"/>
    <w:rsid w:val="00493A0C"/>
    <w:pPr>
      <w:spacing w:after="0" w:line="240" w:lineRule="auto"/>
    </w:p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LightGrid2PHPDOCX">
    <w:name w:val="Light Grid 2 PHPDOCX"/>
    <w:uiPriority w:val="62"/>
    <w:rsid w:val="00112029"/>
    <w:pPr>
      <w:spacing w:after="0" w:line="240" w:lineRule="auto"/>
    </w:p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18" w:space="0" w:color="C0504D" w:themeColor="accent2"/>
          <w:right w:val="single" w:sz="8" w:space="0" w:color="C0504D" w:themeColor="accent2"/>
          <w:insideH w:val="nil"/>
          <w:insideV w:val="single" w:sz="8" w:space="0" w:color="C0504D"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0504D" w:themeColor="accent2"/>
          <w:left w:val="single" w:sz="8" w:space="0" w:color="C0504D" w:themeColor="accent2"/>
          <w:bottom w:val="single" w:sz="8" w:space="0" w:color="C0504D" w:themeColor="accent2"/>
          <w:right w:val="single" w:sz="8" w:space="0" w:color="C0504D" w:themeColor="accent2"/>
          <w:insideH w:val="nil"/>
          <w:insideV w:val="single" w:sz="8" w:space="0" w:color="C0504D"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tcPr>
    </w:tblStylePr>
    <w:tblStylePr w:type="band1Vert">
      <w:tblPr/>
      <w:tcPr>
        <w:tcBorders>
          <w:top w:val="single" w:sz="8" w:space="0" w:color="C0504D" w:themeColor="accent2"/>
          <w:left w:val="single" w:sz="8" w:space="0" w:color="C0504D" w:themeColor="accent2"/>
          <w:bottom w:val="single" w:sz="8" w:space="0" w:color="C0504D" w:themeColor="accent2"/>
          <w:right w:val="single" w:sz="8" w:space="0" w:color="C0504D" w:themeColor="accent2"/>
        </w:tcBorders>
        <w:shd w:val="clear" w:color="auto" w:fill="EFD3D2" w:themeFill="accent2" w:themeFillTint="3F"/>
      </w:tcPr>
    </w:tblStylePr>
    <w:tblStylePr w:type="band1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shd w:val="clear" w:color="auto" w:fill="EFD3D2" w:themeFill="accent2" w:themeFillTint="3F"/>
      </w:tcPr>
    </w:tblStylePr>
    <w:tblStylePr w:type="band2Horz">
      <w:tblPr/>
      <w:tcPr>
        <w:tcBorders>
          <w:top w:val="single" w:sz="8" w:space="0" w:color="C0504D" w:themeColor="accent2"/>
          <w:left w:val="single" w:sz="8" w:space="0" w:color="C0504D" w:themeColor="accent2"/>
          <w:bottom w:val="single" w:sz="8" w:space="0" w:color="C0504D" w:themeColor="accent2"/>
          <w:right w:val="single" w:sz="8" w:space="0" w:color="C0504D" w:themeColor="accent2"/>
          <w:insideV w:val="single" w:sz="8" w:space="0" w:color="C0504D" w:themeColor="accent2"/>
        </w:tcBorders>
      </w:tcPr>
    </w:tblStylePr>
  </w:style>
  <w:style w:type="table" w:styleId="LightGrid3PHPDOCX">
    <w:name w:val="Light Grid 3 PHPDOCX"/>
    <w:uiPriority w:val="62"/>
    <w:rsid w:val="00112029"/>
    <w:pPr>
      <w:spacing w:after="0" w:line="240" w:lineRule="auto"/>
    </w:p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LightGrid4PHPDOCX">
    <w:name w:val="Light Grid 4 PHPDOCX"/>
    <w:uiPriority w:val="62"/>
    <w:rsid w:val="00112029"/>
    <w:pPr>
      <w:spacing w:after="0" w:line="240" w:lineRule="auto"/>
    </w:p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LightGrid5PHPDOCX">
    <w:name w:val="Light Grid 5 PHPDOCX"/>
    <w:uiPriority w:val="62"/>
    <w:rsid w:val="0011202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LightGrid6PHPDOCX">
    <w:name w:val="Light Grid 6 PHPDOCX"/>
    <w:uiPriority w:val="62"/>
    <w:rsid w:val="00112029"/>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MediumShading1PHPDOCX">
    <w:name w:val="Medium Shading 1 PHPDOCX"/>
    <w:uiPriority w:val="63"/>
    <w:rsid w:val="00535F5A"/>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ediumShading1-accent1PHPDOCX">
    <w:name w:val="Medium Shading 1 Accent 1 PHPDOCX"/>
    <w:uiPriority w:val="63"/>
    <w:rsid w:val="00535F5A"/>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ediumShading1-accent2PHPDOCX">
    <w:name w:val="Medium Shading 1 Accent 2 PHPDOCX"/>
    <w:uiPriority w:val="63"/>
    <w:rsid w:val="00535F5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shd w:val="clear" w:color="auto" w:fill="C0504D" w:themeFill="accent2"/>
      </w:tcPr>
    </w:tblStylePr>
    <w:tblStylePr w:type="lastRow">
      <w:pPr>
        <w:spacing w:before="0" w:after="0" w:line="240" w:lineRule="auto"/>
      </w:pPr>
      <w:rPr>
        <w:b/>
        <w:bCs/>
      </w:rPr>
      <w:tblPr/>
      <w:tcPr>
        <w:tcBorders>
          <w:top w:val="double" w:sz="6"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nil"/>
          <w:insideV w:val="nil"/>
        </w:tcBorders>
      </w:tcPr>
    </w:tblStylePr>
    <w:tblStylePr w:type="firstCol">
      <w:rPr>
        <w:b/>
        <w:bCs/>
      </w:rPr>
    </w:tblStylePr>
    <w:tblStylePr w:type="lastCol">
      <w:rPr>
        <w:b/>
        <w:bCs/>
      </w:rPr>
    </w:tblStylePr>
    <w:tblStylePr w:type="band1Vert">
      <w:tblPr/>
      <w:tcPr>
        <w:shd w:val="clear" w:color="auto" w:fill="EFD3D2" w:themeFill="accent2" w:themeFillTint="3F"/>
      </w:tcPr>
    </w:tblStylePr>
    <w:tblStylePr w:type="band1Horz">
      <w:tblPr/>
      <w:tcPr>
        <w:tcBorders>
          <w:insideH w:val="nil"/>
          <w:insideV w:val="nil"/>
        </w:tcBorders>
        <w:shd w:val="clear" w:color="auto" w:fill="EFD3D2" w:themeFill="accent2" w:themeFillTint="3F"/>
      </w:tcPr>
    </w:tblStylePr>
    <w:tblStylePr w:type="band2Horz">
      <w:tblPr/>
      <w:tcPr>
        <w:tcBorders>
          <w:insideH w:val="nil"/>
          <w:insideV w:val="nil"/>
        </w:tcBorders>
      </w:tcPr>
    </w:tblStylePr>
  </w:style>
  <w:style w:type="table" w:styleId="MediumShading1-accent3PHPDOCX">
    <w:name w:val="Medium Shading 1 Accent 3 PHPDOCX"/>
    <w:uiPriority w:val="63"/>
    <w:rsid w:val="00535F5A"/>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ediumShading1-accent4PHPDOCX">
    <w:name w:val="Medium Shading 1 Accent 4 PHPDOCX"/>
    <w:uiPriority w:val="63"/>
    <w:rsid w:val="00535F5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ediumShading1-accent5PHPDOCX">
    <w:name w:val="Medium Shading 1 Accent 5 PHPDOCX"/>
    <w:uiPriority w:val="63"/>
    <w:rsid w:val="00535F5A"/>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ediumShading1-accent6PHPDOCX">
    <w:name w:val="Medium Shading 1 Accent 6 PHPDOCX"/>
    <w:uiPriority w:val="63"/>
    <w:rsid w:val="00535F5A"/>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ediumShading2PHPDOCX">
    <w:name w:val="Medium Shading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PHPDOCX">
    <w:name w:val="Medium Shading 2 Accent 1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PHPDOCX">
    <w:name w:val="Medium Shading 2 Accent 2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0504D"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0504D" w:themeFill="accent2"/>
      </w:tcPr>
    </w:tblStylePr>
    <w:tblStylePr w:type="lastCol">
      <w:rPr>
        <w:b/>
        <w:bCs/>
        <w:color w:val="FFFFFF" w:themeColor="background1"/>
      </w:rPr>
      <w:tblPr/>
      <w:tcPr>
        <w:tcBorders>
          <w:left w:val="nil"/>
          <w:right w:val="nil"/>
          <w:insideH w:val="nil"/>
          <w:insideV w:val="nil"/>
        </w:tcBorders>
        <w:shd w:val="clear" w:color="auto" w:fill="C0504D"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PHPDOCX">
    <w:name w:val="Medium Shading 2 Accent 3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PHPDOCX">
    <w:name w:val="Medium Shading 2 Accent 4 PHPDOCX"/>
    <w:uiPriority w:val="64"/>
    <w:rsid w:val="00535F5A"/>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PHPDOCX">
    <w:name w:val="Medium Shading 2 Accent 5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PHPDOCX">
    <w:name w:val="Medium Shading 2 Accent 6 PHPDOCX"/>
    <w:uiPriority w:val="64"/>
    <w:rsid w:val="00361FF4"/>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1PHPDOCX">
    <w:name w:val="Medium List 1 PHPDOCX"/>
    <w:uiPriority w:val="65"/>
    <w:rsid w:val="00361FF4"/>
    <w:pPr>
      <w:spacing w:after="0" w:line="240" w:lineRule="auto"/>
    </w:pPr>
    <w:rPr>
      <w:color w:val="000000" w:themeColor="text1"/>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ediumList1-accent1PHPDOCX">
    <w:name w:val="Medium List 1 Accent 1 PHPDOCX"/>
    <w:uiPriority w:val="65"/>
    <w:rsid w:val="00361FF4"/>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ediumList1-accent2PHPDOCX">
    <w:name w:val="Medium List 1 Accent 2 PHPDOCX"/>
    <w:uiPriority w:val="65"/>
    <w:rsid w:val="00361FF4"/>
    <w:pPr>
      <w:spacing w:after="0" w:line="240" w:lineRule="auto"/>
    </w:pPr>
    <w:rPr>
      <w:color w:val="000000" w:themeColor="text1"/>
    </w:rPr>
    <w:tblPr>
      <w:tblStyleRowBandSize w:val="1"/>
      <w:tblStyleColBandSize w:val="1"/>
      <w:tblInd w:w="0" w:type="dxa"/>
      <w:tblBorders>
        <w:top w:val="single" w:sz="8" w:space="0" w:color="C0504D" w:themeColor="accent2"/>
        <w:bottom w:val="single" w:sz="8" w:space="0" w:color="C0504D" w:themeColor="accent2"/>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C0504D" w:themeColor="accent2"/>
        </w:tcBorders>
      </w:tcPr>
    </w:tblStylePr>
    <w:tblStylePr w:type="lastRow">
      <w:rPr>
        <w:b/>
        <w:bCs/>
        <w:color w:val="1F497D" w:themeColor="text2"/>
      </w:rPr>
      <w:tblPr/>
      <w:tcPr>
        <w:tcBorders>
          <w:top w:val="single" w:sz="8" w:space="0" w:color="C0504D" w:themeColor="accent2"/>
          <w:bottom w:val="single" w:sz="8" w:space="0" w:color="C0504D" w:themeColor="accent2"/>
        </w:tcBorders>
      </w:tcPr>
    </w:tblStylePr>
    <w:tblStylePr w:type="firstCol">
      <w:rPr>
        <w:b/>
        <w:bCs/>
      </w:rPr>
    </w:tblStylePr>
    <w:tblStylePr w:type="lastCol">
      <w:rPr>
        <w:b/>
        <w:bCs/>
      </w:rPr>
      <w:tblPr/>
      <w:tcPr>
        <w:tcBorders>
          <w:top w:val="single" w:sz="8" w:space="0" w:color="C0504D" w:themeColor="accent2"/>
          <w:bottom w:val="single" w:sz="8" w:space="0" w:color="C0504D" w:themeColor="accent2"/>
        </w:tcBorders>
      </w:tcPr>
    </w:tblStylePr>
    <w:tblStylePr w:type="band1Vert">
      <w:tblPr/>
      <w:tcPr>
        <w:shd w:val="clear" w:color="auto" w:fill="EFD3D2" w:themeFill="accent2" w:themeFillTint="3F"/>
      </w:tcPr>
    </w:tblStylePr>
    <w:tblStylePr w:type="band1Horz">
      <w:tblPr/>
      <w:tcPr>
        <w:shd w:val="clear" w:color="auto" w:fill="EFD3D2" w:themeFill="accent2" w:themeFillTint="3F"/>
      </w:tcPr>
    </w:tblStylePr>
  </w:style>
  <w:style w:type="table" w:styleId="MediumList1-accent3PHPDOCX">
    <w:name w:val="Medium List 1 Accent 3 PHPDOCX"/>
    <w:uiPriority w:val="65"/>
    <w:rsid w:val="00361FF4"/>
    <w:pPr>
      <w:spacing w:after="0" w:line="240" w:lineRule="auto"/>
    </w:pPr>
    <w:rPr>
      <w:color w:val="000000" w:themeColor="text1"/>
    </w:rPr>
    <w:tblPr>
      <w:tblStyleRowBandSize w:val="1"/>
      <w:tblStyleColBandSize w:val="1"/>
      <w:tblInd w:w="0" w:type="dxa"/>
      <w:tblBorders>
        <w:top w:val="single" w:sz="8" w:space="0" w:color="9BBB59" w:themeColor="accent3"/>
        <w:bottom w:val="single" w:sz="8" w:space="0" w:color="9BBB59" w:themeColor="accent3"/>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1F497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ediumList1-accent4PHPDOCX">
    <w:name w:val="Medium List 1 Accent 4 PHPDOCX"/>
    <w:uiPriority w:val="65"/>
    <w:rsid w:val="00361FF4"/>
    <w:pPr>
      <w:spacing w:after="0" w:line="240" w:lineRule="auto"/>
    </w:pPr>
    <w:rPr>
      <w:color w:val="000000" w:themeColor="text1"/>
    </w:rPr>
    <w:tblPr>
      <w:tblStyleRowBandSize w:val="1"/>
      <w:tblStyleColBandSize w:val="1"/>
      <w:tblInd w:w="0" w:type="dxa"/>
      <w:tblBorders>
        <w:top w:val="single" w:sz="8" w:space="0" w:color="8064A2" w:themeColor="accent4"/>
        <w:bottom w:val="single" w:sz="8" w:space="0" w:color="8064A2" w:themeColor="accent4"/>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1F497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ediumList1-accent5PHPDOCX">
    <w:name w:val="Medium List 1 Accent 5 PHPDOCX"/>
    <w:uiPriority w:val="65"/>
    <w:rsid w:val="00361FF4"/>
    <w:pPr>
      <w:spacing w:after="0" w:line="240" w:lineRule="auto"/>
    </w:pPr>
    <w:rPr>
      <w:color w:val="000000" w:themeColor="text1"/>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1F497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ediumList1-accent6PHPDOCX">
    <w:name w:val="Medium List 1 Accent 6 PHPDOCX"/>
    <w:uiPriority w:val="65"/>
    <w:rsid w:val="00361FF4"/>
    <w:pPr>
      <w:spacing w:after="0" w:line="240" w:lineRule="auto"/>
    </w:pPr>
    <w:rPr>
      <w:color w:val="000000" w:themeColor="text1"/>
    </w:rPr>
    <w:tblPr>
      <w:tblStyleRowBandSize w:val="1"/>
      <w:tblStyleColBandSize w:val="1"/>
      <w:tblInd w:w="0" w:type="dxa"/>
      <w:tblBorders>
        <w:top w:val="single" w:sz="8" w:space="0" w:color="F79646" w:themeColor="accent6"/>
        <w:bottom w:val="single" w:sz="8" w:space="0" w:color="F79646" w:themeColor="accent6"/>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1F497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ediumList2PHPDOCX">
    <w:name w:val="Medium Lis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PHPDOCX">
    <w:name w:val="Medium List 2 Accent 1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PHPDOCX">
    <w:name w:val="Medium List 2 Accent 2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tblBorders>
      <w:tblCellMar>
        <w:top w:w="0" w:type="dxa"/>
        <w:left w:w="108" w:type="dxa"/>
        <w:bottom w:w="0" w:type="dxa"/>
        <w:right w:w="108" w:type="dxa"/>
      </w:tblCellMar>
    </w:tblPr>
    <w:tblStylePr w:type="firstRow">
      <w:rPr>
        <w:sz w:val="24"/>
        <w:szCs w:val="24"/>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tblPr/>
      <w:tcPr>
        <w:tcBorders>
          <w:top w:val="single" w:sz="8" w:space="0" w:color="C0504D"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0504D" w:themeColor="accent2"/>
          <w:insideH w:val="nil"/>
          <w:insideV w:val="nil"/>
        </w:tcBorders>
        <w:shd w:val="clear" w:color="auto" w:fill="FFFFFF" w:themeFill="background1"/>
      </w:tcPr>
    </w:tblStylePr>
    <w:tblStylePr w:type="lastCol">
      <w:tblPr/>
      <w:tcPr>
        <w:tcBorders>
          <w:top w:val="nil"/>
          <w:left w:val="single" w:sz="8" w:space="0" w:color="C0504D"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FD3D2" w:themeFill="accent2" w:themeFillTint="3F"/>
      </w:tcPr>
    </w:tblStylePr>
    <w:tblStylePr w:type="band1Horz">
      <w:tblPr/>
      <w:tcPr>
        <w:tcBorders>
          <w:top w:val="nil"/>
          <w:bottom w:val="nil"/>
          <w:insideH w:val="nil"/>
          <w:insideV w:val="nil"/>
        </w:tcBorders>
        <w:shd w:val="clear" w:color="auto" w:fill="EFD3D2"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PHPDOCX">
    <w:name w:val="Medium List 2 Accent 3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single" w:sz="8" w:space="0" w:color="9BBB59"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PHPDOCX">
    <w:name w:val="Medium List 2 Accent 4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tblBorders>
      <w:tblCellMar>
        <w:top w:w="0" w:type="dxa"/>
        <w:left w:w="108" w:type="dxa"/>
        <w:bottom w:w="0" w:type="dxa"/>
        <w:right w:w="108" w:type="dxa"/>
      </w:tblCellMar>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single" w:sz="8" w:space="0" w:color="8064A2"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PHPDOCX">
    <w:name w:val="Medium List 2 Accent 5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PHPDOCX">
    <w:name w:val="Medium List 2 Accent 6 PHPDOCX"/>
    <w:uiPriority w:val="66"/>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Grid1PHPDOCX">
    <w:name w:val="Medium Grid 1 PHPDOCX"/>
    <w:uiPriority w:val="67"/>
    <w:rsid w:val="00361FF4"/>
    <w:pPr>
      <w:spacing w:after="0" w:line="240" w:lineRule="auto"/>
    </w:pPr>
    <w:tblPr>
      <w:tblStyleRowBandSize w:val="1"/>
      <w:tblStyleColBandSize w:val="1"/>
      <w:tblInd w:w="0" w:type="dxa"/>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CellMar>
        <w:top w:w="0" w:type="dxa"/>
        <w:left w:w="108" w:type="dxa"/>
        <w:bottom w:w="0" w:type="dxa"/>
        <w:right w:w="108" w:type="dxa"/>
      </w:tblCellMar>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ediumGrid1-accent1PHPDOCX">
    <w:name w:val="Medium Grid 1 Accent 1 PHPDOCX"/>
    <w:uiPriority w:val="67"/>
    <w:rsid w:val="00361FF4"/>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CellMar>
        <w:top w:w="0" w:type="dxa"/>
        <w:left w:w="108" w:type="dxa"/>
        <w:bottom w:w="0" w:type="dxa"/>
        <w:right w:w="108" w:type="dxa"/>
      </w:tblCellMar>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ediumGrid1-accent2PHPDOCX">
    <w:name w:val="Medium Grid 1 Accent 2 PHPDOCX"/>
    <w:uiPriority w:val="67"/>
    <w:rsid w:val="00361FF4"/>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MediumGrid1-accent3PHPDOCX">
    <w:name w:val="Medium Grid 1 Accent 3 PHPDOCX"/>
    <w:uiPriority w:val="67"/>
    <w:rsid w:val="00361FF4"/>
    <w:pPr>
      <w:spacing w:after="0" w:line="240" w:lineRule="auto"/>
    </w:pPr>
    <w:tblPr>
      <w:tblStyleRowBandSize w:val="1"/>
      <w:tblStyleColBandSize w:val="1"/>
      <w:tblInd w:w="0" w:type="dxa"/>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CellMar>
        <w:top w:w="0" w:type="dxa"/>
        <w:left w:w="108" w:type="dxa"/>
        <w:bottom w:w="0" w:type="dxa"/>
        <w:right w:w="108" w:type="dxa"/>
      </w:tblCellMar>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ediumGrid1-accent4PHPDOCX">
    <w:name w:val="Medium Grid 1 Accent 4 PHPDOCX"/>
    <w:uiPriority w:val="67"/>
    <w:rsid w:val="00361FF4"/>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ediumGrid1-accent5PHPDOCX">
    <w:name w:val="Medium Grid 1 Accent 5 PHPDOCX"/>
    <w:uiPriority w:val="67"/>
    <w:rsid w:val="00361FF4"/>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ediumGrid1-accent6PHPDOCX">
    <w:name w:val="Medium Grid 1 Accent 6 PHPDOCX"/>
    <w:uiPriority w:val="67"/>
    <w:rsid w:val="00361FF4"/>
    <w:pPr>
      <w:spacing w:after="0" w:line="240" w:lineRule="auto"/>
    </w:pPr>
    <w:tblPr>
      <w:tblStyleRowBandSize w:val="1"/>
      <w:tblStyleColBandSize w:val="1"/>
      <w:tblInd w:w="0" w:type="dxa"/>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CellMar>
        <w:top w:w="0" w:type="dxa"/>
        <w:left w:w="108" w:type="dxa"/>
        <w:bottom w:w="0" w:type="dxa"/>
        <w:right w:w="108" w:type="dxa"/>
      </w:tblCellMar>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ediumGrid2PHPDOCX">
    <w:name w:val="Medium Grid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ediumGrid2-accent1PHPDOCX">
    <w:name w:val="Medium Grid 2 Accent 1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CellMar>
        <w:top w:w="0" w:type="dxa"/>
        <w:left w:w="108" w:type="dxa"/>
        <w:bottom w:w="0" w:type="dxa"/>
        <w:right w:w="108" w:type="dxa"/>
      </w:tblCellMar>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ediumGrid2-accent2PHPDOCX">
    <w:name w:val="Medium Grid 2 Accent 2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C0504D" w:themeColor="accent2"/>
        <w:left w:val="single" w:sz="8" w:space="0" w:color="C0504D" w:themeColor="accent2"/>
        <w:bottom w:val="single" w:sz="8" w:space="0" w:color="C0504D" w:themeColor="accent2"/>
        <w:right w:val="single" w:sz="8" w:space="0" w:color="C0504D" w:themeColor="accent2"/>
        <w:insideH w:val="single" w:sz="8" w:space="0" w:color="C0504D" w:themeColor="accent2"/>
        <w:insideV w:val="single" w:sz="8" w:space="0" w:color="C0504D" w:themeColor="accent2"/>
      </w:tblBorders>
      <w:tblCellMar>
        <w:top w:w="0" w:type="dxa"/>
        <w:left w:w="108" w:type="dxa"/>
        <w:bottom w:w="0" w:type="dxa"/>
        <w:right w:w="108" w:type="dxa"/>
      </w:tblCellMar>
    </w:tblPr>
    <w:tcPr>
      <w:shd w:val="clear" w:color="auto" w:fill="EFD3D2" w:themeFill="accent2" w:themeFillTint="3F"/>
    </w:tcPr>
    <w:tblStylePr w:type="firstRow">
      <w:rPr>
        <w:b/>
        <w:bCs/>
        <w:color w:val="000000" w:themeColor="text1"/>
      </w:rPr>
      <w:tblPr/>
      <w:tcPr>
        <w:shd w:val="clear" w:color="auto" w:fill="F8EDED"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2DBDB" w:themeFill="accent2" w:themeFillTint="33"/>
      </w:tcPr>
    </w:tblStylePr>
    <w:tblStylePr w:type="band1Vert">
      <w:tblPr/>
      <w:tcPr>
        <w:shd w:val="clear" w:color="auto" w:fill="DFA7A6" w:themeFill="accent2" w:themeFillTint="7F"/>
      </w:tcPr>
    </w:tblStylePr>
    <w:tblStylePr w:type="band1Horz">
      <w:tblPr/>
      <w:tcPr>
        <w:tcBorders>
          <w:insideH w:val="single" w:sz="6" w:space="0" w:color="C0504D" w:themeColor="accent2"/>
          <w:insideV w:val="single" w:sz="6" w:space="0" w:color="C0504D" w:themeColor="accent2"/>
        </w:tcBorders>
        <w:shd w:val="clear" w:color="auto" w:fill="DFA7A6" w:themeFill="accent2" w:themeFillTint="7F"/>
      </w:tcPr>
    </w:tblStylePr>
    <w:tblStylePr w:type="nwCell">
      <w:tblPr/>
      <w:tcPr>
        <w:shd w:val="clear" w:color="auto" w:fill="FFFFFF" w:themeFill="background1"/>
      </w:tcPr>
    </w:tblStylePr>
  </w:style>
  <w:style w:type="table" w:styleId="MediumGrid2-accent3PHPDOCX">
    <w:name w:val="Medium Grid 2 Accent 3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CellMar>
        <w:top w:w="0" w:type="dxa"/>
        <w:left w:w="108" w:type="dxa"/>
        <w:bottom w:w="0" w:type="dxa"/>
        <w:right w:w="108" w:type="dxa"/>
      </w:tblCellMar>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ediumGrid2-accent4PHPDOCX">
    <w:name w:val="Medium Grid 2 Accent 4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CellMar>
        <w:top w:w="0" w:type="dxa"/>
        <w:left w:w="108" w:type="dxa"/>
        <w:bottom w:w="0" w:type="dxa"/>
        <w:right w:w="108" w:type="dxa"/>
      </w:tblCellMar>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ediumGrid2-accent5PHPDOCX">
    <w:name w:val="Medium Grid 2 Accent 5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ediumGrid2-accent6PHPDOCX">
    <w:name w:val="Medium Grid 2 Accent 6 PHPDOCX"/>
    <w:uiPriority w:val="68"/>
    <w:rsid w:val="00361FF4"/>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ediumGrid3PHPDOCX">
    <w:name w:val="Medium Grid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ediumGrid3-accent1PHPDOCX">
    <w:name w:val="Medium Grid 3 Accent 1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ediumGrid3-accent2PHPDOCX">
    <w:name w:val="Medium Grid 3 Accent 2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FD3D2"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0504D"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0504D"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0504D"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FA7A6"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FA7A6" w:themeFill="accent2" w:themeFillTint="7F"/>
      </w:tcPr>
    </w:tblStylePr>
  </w:style>
  <w:style w:type="table" w:styleId="MediumGrid3-accent3PHPDOCX">
    <w:name w:val="Medium Grid 3 Accent 3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ediumGrid3-accent5PHPDOCX">
    <w:name w:val="Medium Grid 3 Accent 5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ediumGrid3-accent4PHPDOCX">
    <w:name w:val="Medium Grid 3 Accent 4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ediumGrid3-accent6PHPDOCX">
    <w:name w:val="Medium Grid 3 Accent 6 PHPDOCX"/>
    <w:uiPriority w:val="69"/>
    <w:rsid w:val="00361FF4"/>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DarkListPHPDOCX">
    <w:name w:val="Dark List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PHPDOCX">
    <w:name w:val="Dark List Accent 1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arkList-accent2PHPDOCX">
    <w:name w:val="Dark List Accent 2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DarkList-accent3PHPDOCX">
    <w:name w:val="Dark List Accent 3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arkList-accent4PHPDOCX">
    <w:name w:val="Dark List Accent 4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arkList-accent5PHPDOCX">
    <w:name w:val="Dark List Accent 5 PHPDOCX"/>
    <w:uiPriority w:val="70"/>
    <w:rsid w:val="00361FF4"/>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arkList-accent6PHPDOCX">
    <w:name w:val="Dark List Accent 6 PHPDOCX"/>
    <w:uiPriority w:val="70"/>
    <w:rsid w:val="00AC197E"/>
    <w:pPr>
      <w:spacing w:after="0" w:line="240" w:lineRule="auto"/>
    </w:pPr>
    <w:rPr>
      <w:color w:val="FFFFFF" w:themeColor="background1"/>
    </w:rPr>
    <w:tblPr>
      <w:tblStyleRowBandSize w:val="1"/>
      <w:tblStyleColBandSize w:val="1"/>
      <w:tblInd w:w="0" w:type="dxa"/>
      <w:tblCellMar>
        <w:top w:w="0" w:type="dxa"/>
        <w:left w:w="108" w:type="dxa"/>
        <w:bottom w:w="0" w:type="dxa"/>
        <w:right w:w="108" w:type="dxa"/>
      </w:tblCellMar>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ColorfulShadingPHPDOCX">
    <w:name w:val="Colorful Shading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6E6E6" w:themeFill="tex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ColorfulShading-accent1PHPDOCX">
    <w:name w:val="Colorful Shading Accent 1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2F8" w:themeFill="accent1"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ColorfulShading-accent2PHPDOCX">
    <w:name w:val="Colorful Shading Accent 2 PHPDOCX"/>
    <w:uiPriority w:val="71"/>
    <w:rsid w:val="00AC197E"/>
    <w:pPr>
      <w:spacing w:after="0" w:line="240" w:lineRule="auto"/>
    </w:pPr>
    <w:rPr>
      <w:color w:val="000000" w:themeColor="text1"/>
    </w:rPr>
    <w:tblPr>
      <w:tblStyleRowBandSize w:val="1"/>
      <w:tblStyleColBandSize w:val="1"/>
      <w:tblInd w:w="0" w:type="dxa"/>
      <w:tblBorders>
        <w:top w:val="single" w:sz="24" w:space="0" w:color="C0504D" w:themeColor="accent2"/>
        <w:left w:val="single" w:sz="4" w:space="0" w:color="C0504D" w:themeColor="accent2"/>
        <w:bottom w:val="single" w:sz="4" w:space="0" w:color="C0504D" w:themeColor="accent2"/>
        <w:right w:val="single" w:sz="4" w:space="0" w:color="C0504D" w:themeColor="accent2"/>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8EDED" w:themeFill="accent2" w:themeFillTint="19"/>
    </w:tcPr>
    <w:tblStylePr w:type="firstRow">
      <w:rPr>
        <w:b/>
        <w:bCs/>
      </w:rPr>
      <w:tblPr/>
      <w:tcPr>
        <w:tcBorders>
          <w:top w:val="nil"/>
          <w:left w:val="nil"/>
          <w:bottom w:val="single" w:sz="24" w:space="0" w:color="C0504D"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772C2A" w:themeFill="accent2" w:themeFillShade="99"/>
      </w:tcPr>
    </w:tblStylePr>
    <w:tblStylePr w:type="firstCol">
      <w:rPr>
        <w:color w:val="FFFFFF" w:themeColor="background1"/>
      </w:rPr>
      <w:tblPr/>
      <w:tcPr>
        <w:tcBorders>
          <w:top w:val="nil"/>
          <w:left w:val="nil"/>
          <w:bottom w:val="nil"/>
          <w:right w:val="nil"/>
          <w:insideH w:val="single" w:sz="4" w:space="0" w:color="772C2A" w:themeColor="accent2" w:themeShade="99"/>
          <w:insideV w:val="nil"/>
        </w:tcBorders>
        <w:shd w:val="clear" w:color="auto" w:fill="772C2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772C2A" w:themeFill="accent2" w:themeFillShade="99"/>
      </w:tcPr>
    </w:tblStylePr>
    <w:tblStylePr w:type="band1Vert">
      <w:tblPr/>
      <w:tcPr>
        <w:shd w:val="clear" w:color="auto" w:fill="E5B8B7" w:themeFill="accent2" w:themeFillTint="66"/>
      </w:tcPr>
    </w:tblStylePr>
    <w:tblStylePr w:type="band1Horz">
      <w:tblPr/>
      <w:tcPr>
        <w:shd w:val="clear" w:color="auto" w:fill="DFA7A6" w:themeFill="accent2" w:themeFillTint="7F"/>
      </w:tcPr>
    </w:tblStylePr>
    <w:tblStylePr w:type="neCell">
      <w:rPr>
        <w:color w:val="000000" w:themeColor="text1"/>
      </w:rPr>
    </w:tblStylePr>
    <w:tblStylePr w:type="nwCell">
      <w:rPr>
        <w:color w:val="000000" w:themeColor="text1"/>
      </w:rPr>
    </w:tblStylePr>
  </w:style>
  <w:style w:type="table" w:styleId="ColorfulShading-accent3PHPDOCX">
    <w:name w:val="Colorful Shading Accent 3 PHPDOCX"/>
    <w:uiPriority w:val="71"/>
    <w:rsid w:val="00AC197E"/>
    <w:pPr>
      <w:spacing w:after="0" w:line="240" w:lineRule="auto"/>
    </w:pPr>
    <w:rPr>
      <w:color w:val="000000" w:themeColor="text1"/>
    </w:rPr>
    <w:tblPr>
      <w:tblStyleRowBandSize w:val="1"/>
      <w:tblStyleColBandSize w:val="1"/>
      <w:tblInd w:w="0" w:type="dxa"/>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ColorfulShading-accent4PHPDOCX">
    <w:name w:val="Colorful Shading Accent 4 PHPDOCX"/>
    <w:uiPriority w:val="71"/>
    <w:rsid w:val="00AC197E"/>
    <w:pPr>
      <w:spacing w:after="0" w:line="240" w:lineRule="auto"/>
    </w:pPr>
    <w:rPr>
      <w:color w:val="000000" w:themeColor="text1"/>
    </w:rPr>
    <w:tblPr>
      <w:tblStyleRowBandSize w:val="1"/>
      <w:tblStyleColBandSize w:val="1"/>
      <w:tblInd w:w="0" w:type="dxa"/>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ColorfulShading-accent5PHPDOCX">
    <w:name w:val="Colorful Shading Accent 5 PHPDOCX"/>
    <w:uiPriority w:val="71"/>
    <w:rsid w:val="00AC197E"/>
    <w:pPr>
      <w:spacing w:after="0" w:line="240" w:lineRule="auto"/>
    </w:pPr>
    <w:rPr>
      <w:color w:val="000000" w:themeColor="text1"/>
    </w:rPr>
    <w:tblPr>
      <w:tblStyleRowBandSize w:val="1"/>
      <w:tblStyleColBandSize w:val="1"/>
      <w:tblInd w:w="0" w:type="dxa"/>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ColorfulShading-accent6PHPDOCX">
    <w:name w:val="Colorful Shading Accent 6 PHPDOCX"/>
    <w:uiPriority w:val="71"/>
    <w:rsid w:val="00AC197E"/>
    <w:pPr>
      <w:spacing w:after="0" w:line="240" w:lineRule="auto"/>
    </w:pPr>
    <w:rPr>
      <w:color w:val="000000" w:themeColor="text1"/>
    </w:rPr>
    <w:tblPr>
      <w:tblStyleRowBandSize w:val="1"/>
      <w:tblStyleColBandSize w:val="1"/>
      <w:tblInd w:w="0" w:type="dxa"/>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CellMar>
        <w:top w:w="0" w:type="dxa"/>
        <w:left w:w="108" w:type="dxa"/>
        <w:bottom w:w="0" w:type="dxa"/>
        <w:right w:w="108" w:type="dxa"/>
      </w:tblCellMar>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ColorfulListPHPDOCX">
    <w:name w:val="Colorful List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ColorfulList-accent1PHPDOCX">
    <w:name w:val="Colorful List Accent 1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ColorfulList-accent2PHPDOCX">
    <w:name w:val="Colorful List Accent 2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ColorfulList-accent3PHPDOCX">
    <w:name w:val="Colorful List Accent 3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ColorfulList-accent4PHPDOCX">
    <w:name w:val="Colorful List Accent 4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olorfulList-accent5PHPDOCX">
    <w:name w:val="Colorful List Accent 5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ColorfulList-accent6PHPDOCX">
    <w:name w:val="Colorful List Accent 6 PHPDOCX"/>
    <w:uiPriority w:val="72"/>
    <w:rsid w:val="00AC197E"/>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ColorfulGridPHPDOCX">
    <w:name w:val="Colorful Grid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ColorfulGrid-accent1PHPDOCX">
    <w:name w:val="Colorful Grid Accent 1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ColorfulGrid-accent2PHPDOCX">
    <w:name w:val="Colorful Grid Accent 2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2DBDB" w:themeFill="accent2" w:themeFillTint="33"/>
    </w:tcPr>
    <w:tblStylePr w:type="firstRow">
      <w:rPr>
        <w:b/>
        <w:bCs/>
      </w:rPr>
      <w:tblPr/>
      <w:tcPr>
        <w:shd w:val="clear" w:color="auto" w:fill="E5B8B7" w:themeFill="accent2" w:themeFillTint="66"/>
      </w:tcPr>
    </w:tblStylePr>
    <w:tblStylePr w:type="lastRow">
      <w:rPr>
        <w:b/>
        <w:bCs/>
        <w:color w:val="000000" w:themeColor="text1"/>
      </w:rPr>
      <w:tblPr/>
      <w:tcPr>
        <w:shd w:val="clear" w:color="auto" w:fill="E5B8B7" w:themeFill="accent2" w:themeFillTint="66"/>
      </w:tcPr>
    </w:tblStylePr>
    <w:tblStylePr w:type="firstCol">
      <w:rPr>
        <w:color w:val="FFFFFF" w:themeColor="background1"/>
      </w:rPr>
      <w:tblPr/>
      <w:tcPr>
        <w:shd w:val="clear" w:color="auto" w:fill="943634" w:themeFill="accent2" w:themeFillShade="BF"/>
      </w:tcPr>
    </w:tblStylePr>
    <w:tblStylePr w:type="lastCol">
      <w:rPr>
        <w:color w:val="FFFFFF" w:themeColor="background1"/>
      </w:rPr>
      <w:tblPr/>
      <w:tcPr>
        <w:shd w:val="clear" w:color="auto" w:fill="943634" w:themeFill="accent2" w:themeFillShade="BF"/>
      </w:tc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ColorfulGrid-accent3PHPDOCX">
    <w:name w:val="Colorful Grid Accent 3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ColorfulGrid-accent4PHPDOCX">
    <w:name w:val="Colorful Grid Accent 4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ColorfulGrid-accent5PHPDOCX">
    <w:name w:val="Colorful Grid Accent 5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ColorfulGrid-accent6PHPDOCX">
    <w:name w:val="Colorful Grid Accent 6 PHPDOCX"/>
    <w:uiPriority w:val="73"/>
    <w:rsid w:val="00AC197E"/>
    <w:pPr>
      <w:spacing w:after="0" w:line="240" w:lineRule="auto"/>
    </w:pPr>
    <w:rPr>
      <w:color w:val="000000" w:themeColor="text1"/>
    </w:rPr>
    <w:tblPr>
      <w:tblStyleRowBandSize w:val="1"/>
      <w:tblStyleColBandSize w:val="1"/>
      <w:tblInd w:w="0" w:type="dxa"/>
      <w:tblBorders>
        <w:insideH w:val="single" w:sz="4" w:space="0" w:color="FFFFFF" w:themeColor="background1"/>
      </w:tblBorders>
      <w:tblCellMar>
        <w:top w:w="0" w:type="dxa"/>
        <w:left w:w="108" w:type="dxa"/>
        <w:bottom w:w="0" w:type="dxa"/>
        <w:right w:w="108" w:type="dxa"/>
      </w:tblCellMar>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s>
</file>

<file path=word/webSettings.xml><?xml version="1.0" encoding="utf-8"?>
<w:webSettings xmlns:r="http://schemas.openxmlformats.org/officeDocument/2006/relationships" xmlns:w="http://schemas.openxmlformats.org/wordprocessingml/2006/main">
  <w:optimizeForBrowser/>
</w:webSettings>
</file>

<file path=word/_rels/comments.xml.rels><?xml version="1.0" encoding="UTF-8" standalone="yes"?><Relationships xmlns="http://schemas.openxmlformats.org/package/2006/relationships"></Relationship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 Id="rId10" Type="http://schemas.openxmlformats.org/officeDocument/2006/relationships/comments" Target="comments.xml"/><Relationship Id="rId275003283" Type="http://schemas.microsoft.com/office/2011/relationships/commentsExtended" Target="commentsExtended.xml"/></Relationships>

</file>

<file path=word/_rels/endnotes.xml.rels><?xml version="1.0" encoding="UTF-8" standalone="yes"?><Relationships xmlns="http://schemas.openxmlformats.org/package/2006/relationships"></Relationships>
</file>

<file path=word/_rels/footnotes.xml.rels><?xml version="1.0" encoding="UTF-8" standalone="yes"?><Relationships xmlns="http://schemas.openxmlformats.org/package/2006/relationships"></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324958-CBFB-4DB0-B37D-BF649D31B7B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43</TotalTime>
  <Pages>12</Pages>
  <Words>307</Words>
  <Characters>1690</Characters>
  <Application>Microsoft Office Word</Application>
  <DocSecurity>0</DocSecurity>
  <Lines>14</Lines>
  <Paragraphs>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PHPDocX</dc:creator>
  <cp:keywords/>
  <dc:description/>
  <cp:lastModifiedBy>PHPDocX</cp:lastModifiedBy>
  <cp:revision>6</cp:revision>
  <dcterms:created xsi:type="dcterms:W3CDTF">2012-01-10T09:29:00Z</dcterms:created>
  <dcterms:modified xsi:type="dcterms:W3CDTF">2012-02-06T10:43:00Z</dcterms:modified>
</cp:coreProperties>
</file>