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Phialophora cinerescens (PHIACI)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Croatia (2011); France (2011); Germany (2011); Greece (1996); Hungary (1992); Ireland (1992); Italy (1992); Poland (1992); Slovenia (2011); Spain (1996); United Kingdom (1996);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03693654026389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the NL proposed deregulation of this pest/host combination in the replies to the RNQP questionnaire.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Phialophora wilt of carnation infects host plants of Dianthus spp. and this can be of infection in cuttings that are used for production of plants for flowers or transplanting. Other sources are by natural spread via infested soil, which is possible but very slow, and by infested irrigation water. The pathogen is able to survive for years in infested soil, most likely as a saprophyte. Nevertheless, the production techniques used in recent decades (certification schemes for planting material including testing of original material, meristem culture, growing on raised benches, unused media or treated soil, pathogen-free water) have reduced the probability of infestation on cuttings of susceptible Dianthus spp. Plants for propagation (rooted and unrooted cuttings of host plants) are therefore considered as a major pathway (EFSA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Impact of Phialophora cinerescens on the intended use of the plants for planting is concluded as high because this is the main source of infection, other mechanisms for introduction of the pest are unlikely under existing production systems (EU COM, 2016).</w:t>
      </w:r>
      <w:r>
        <w:rPr>
          <w:color w:val="F30000"/>
          <w:sz w:val="24"/>
          <w:szCs w:val="24"/>
        </w:rPr>
        <w:br/>
        <w:t xml:space="preserve">There are no recent reports on negative effects on currently grown carnation varieties under either natural or artificial inoculation conditions. Older work showed in an experiment carried out in naturally infested soil the proportion of infected plants at the end of the trial was 52.1 % in the control plots and 22.9 % in soil disinfested with dazomet, and the number of flowers produced per plant was 5.7 in control plots and 7.3 in disinfested plots (+ 21 %). In artificially inoculated soil, all the plants were killed at the end of the trial in the control plots; in plots drenched with 4 g/m2 of benomyl only 11.3 % of plants died.</w:t>
      </w:r>
      <w:r>
        <w:rPr>
          <w:color w:val="F30000"/>
          <w:sz w:val="24"/>
          <w:szCs w:val="24"/>
        </w:rPr>
        <w:br/>
        <w:t xml:space="preserve">The impact of P. cinerescens carnation wilt would be very high only if already infected rooted cuttings were imported on to a farm or nursery. The presence of the pathogen would have a significant impact on carnation production only in the absence of any control measures. In this case, the yield of each infected plant would be completely lost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considered that there is no added value for regulation. In professional production systems, the pest is not known anymore. Organism does not occur in the modern production system, because of the application of voluntary certification systems aimed at Fusarium prevention. The substantially free from requirement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Phialophora cinerescens (Wollenweber) van Beyma for the EU territory, with the identification and evaluation of risk reduction options. EFSA Journal 11, 3070. Available online: </w:t>
      </w:r>
      <w:hyperlink r:id="rId62816936540263c0f" w:history="1">
        <w:r>
          <w:rPr>
            <w:color w:val="0200C9"/>
            <w:sz w:val="24"/>
            <w:szCs w:val="24"/>
          </w:rPr>
          <w:t xml:space="preserve">http://onlinelibrary.wiley.com/doi/10.2903/j.efsa.2013.3070/epdf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Phialophora cinerescens;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89765">
    <w:multiLevelType w:val="hybridMultilevel"/>
    <w:lvl w:ilvl="0" w:tplc="68255357">
      <w:start w:val="1"/>
      <w:numFmt w:val="decimal"/>
      <w:lvlText w:val="%1."/>
      <w:lvlJc w:val="left"/>
      <w:pPr>
        <w:ind w:left="720" w:hanging="360"/>
      </w:pPr>
    </w:lvl>
    <w:lvl w:ilvl="1" w:tplc="68255357" w:tentative="1">
      <w:start w:val="1"/>
      <w:numFmt w:val="lowerLetter"/>
      <w:lvlText w:val="%2."/>
      <w:lvlJc w:val="left"/>
      <w:pPr>
        <w:ind w:left="1440" w:hanging="360"/>
      </w:pPr>
    </w:lvl>
    <w:lvl w:ilvl="2" w:tplc="68255357" w:tentative="1">
      <w:start w:val="1"/>
      <w:numFmt w:val="lowerRoman"/>
      <w:lvlText w:val="%3."/>
      <w:lvlJc w:val="right"/>
      <w:pPr>
        <w:ind w:left="2160" w:hanging="180"/>
      </w:pPr>
    </w:lvl>
    <w:lvl w:ilvl="3" w:tplc="68255357" w:tentative="1">
      <w:start w:val="1"/>
      <w:numFmt w:val="decimal"/>
      <w:lvlText w:val="%4."/>
      <w:lvlJc w:val="left"/>
      <w:pPr>
        <w:ind w:left="2880" w:hanging="360"/>
      </w:pPr>
    </w:lvl>
    <w:lvl w:ilvl="4" w:tplc="68255357" w:tentative="1">
      <w:start w:val="1"/>
      <w:numFmt w:val="lowerLetter"/>
      <w:lvlText w:val="%5."/>
      <w:lvlJc w:val="left"/>
      <w:pPr>
        <w:ind w:left="3600" w:hanging="360"/>
      </w:pPr>
    </w:lvl>
    <w:lvl w:ilvl="5" w:tplc="68255357" w:tentative="1">
      <w:start w:val="1"/>
      <w:numFmt w:val="lowerRoman"/>
      <w:lvlText w:val="%6."/>
      <w:lvlJc w:val="right"/>
      <w:pPr>
        <w:ind w:left="4320" w:hanging="180"/>
      </w:pPr>
    </w:lvl>
    <w:lvl w:ilvl="6" w:tplc="68255357" w:tentative="1">
      <w:start w:val="1"/>
      <w:numFmt w:val="decimal"/>
      <w:lvlText w:val="%7."/>
      <w:lvlJc w:val="left"/>
      <w:pPr>
        <w:ind w:left="5040" w:hanging="360"/>
      </w:pPr>
    </w:lvl>
    <w:lvl w:ilvl="7" w:tplc="68255357" w:tentative="1">
      <w:start w:val="1"/>
      <w:numFmt w:val="lowerLetter"/>
      <w:lvlText w:val="%8."/>
      <w:lvlJc w:val="left"/>
      <w:pPr>
        <w:ind w:left="5760" w:hanging="360"/>
      </w:pPr>
    </w:lvl>
    <w:lvl w:ilvl="8" w:tplc="68255357" w:tentative="1">
      <w:start w:val="1"/>
      <w:numFmt w:val="lowerRoman"/>
      <w:lvlText w:val="%9."/>
      <w:lvlJc w:val="right"/>
      <w:pPr>
        <w:ind w:left="6480" w:hanging="180"/>
      </w:pPr>
    </w:lvl>
  </w:abstractNum>
  <w:abstractNum w:abstractNumId="39189764">
    <w:multiLevelType w:val="hybridMultilevel"/>
    <w:lvl w:ilvl="0" w:tplc="253036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89764">
    <w:abstractNumId w:val="39189764"/>
  </w:num>
  <w:num w:numId="39189765">
    <w:abstractNumId w:val="391897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4257302" Type="http://schemas.microsoft.com/office/2011/relationships/commentsExtended" Target="commentsExtended.xml"/><Relationship Id="rId32036936540263890" Type="http://schemas.openxmlformats.org/officeDocument/2006/relationships/hyperlink" Target="https://gd.eppo.int/" TargetMode="External"/><Relationship Id="rId62816936540263c0f" Type="http://schemas.openxmlformats.org/officeDocument/2006/relationships/hyperlink" Target="http://onlinelibrary.wiley.com/doi/10.2903/j.efsa.2013.3070/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