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196901b549cb4f2"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 plants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Moths probably stay within a range of 100 m and possibly a much shorter range from the plants they emerged. Natural spread between greenhouses in areas where the pest cannot establish outdoors has not been documented. Trade of infested planting material is the main pathway for long-distance spread (van der Gaag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Generally, little information has been published on the economic impact of O. sacchari. For banana, pine apple and papaya, minor impacts were observed on the Canary Islands because it is controlled by insecticide sprays targeted against other pests. Impact also seems minor on Madeira. The impact is probably major on Hawaii. From other areas in the world, information on the impact under commercial conditions is very limited. Major impacts are observed on ornamental species, especially in areas with a more tropical climate (warm and humid) such as Hawaii and southern China (van der Gaag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it is not an important pest for the fruit production and proposed to keep this pest only for discussions during the ornamental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concluded that it is not an important pest for the fruit production and proposed to keep this pest only for discussions during the ornamental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 plants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moth Opogona sacchari has a wide host range and is mainly known as a pest of tropical and subtropical plants like banana, pineapple and various ornamentals from (sub)tropical origin. However for vegetable species covered by EU directive 2008/72/EU, none are hosts according to a Dutch PRA prepared in 2013 (van der Gaag et al., 2013). In recent scientific literature (2013-2017), no information was found on the presence of Opogona sacchari on Capsicum annuum and Solanum melongena either. For this reason, it is concluded that no species in this vegetable sector are known to be host plants. Plants for planting of the vegetable sector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species in the vegetable sector are known to be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Arecaceae (Palmae), Beaucarnea, Bougainvillea, Crassula, Crinum, Dracaena, Ficus, Musa, Pachira, Sansevieria and Yucca (All plants)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moth Opogona sacchari has a wide host range and is mainly known as a pest of tropical and subtropical plants like banana, pineapple and various ornamentals from (sub) tropical origin. The larvae of O. sacchari require host plants parts which are big enough for the larvae to tunnel in but the minimal diameter needed is not known. Larvae can be present in potting medium or soil in which the host plants are grown. Data on dispersal distance are very limited, but moths likely do not fly far from the plant from which they emerge. Distances will likely be within a range of 1 km or less. There is no documentation indicating that spread occurs between greenhouses in areas where the pest cannot establish outdoors (Van der Gaag et al., 2013).</w:t>
      </w:r>
      <w:r>
        <w:rPr>
          <w:color w:val="0200C9"/>
          <w:sz w:val="24"/>
          <w:szCs w:val="24"/>
        </w:rPr>
        <w:br/>
        <w:t xml:space="preserve">In conclusion, only certain species of ornamental plants for planting are a host, and these are suggested to represent a significant pathway in relation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Greenhouses with ornamental host plants: economic impact is generally medium, incidentally major.</w:t>
      </w:r>
      <w:r>
        <w:rPr>
          <w:color w:val="0200C9"/>
          <w:sz w:val="24"/>
          <w:szCs w:val="24"/>
        </w:rPr>
        <w:br/>
        <w:t xml:space="preserve">O. sacchari has potentially a major impact because it can kill its host plant or damage the plants to the extent that they can no longer be marketed. In Northern Europe no damage is expected to occur outdoors given that the climate is not suitable for the pest.</w:t>
      </w:r>
      <w:r>
        <w:rPr>
          <w:color w:val="0200C9"/>
          <w:sz w:val="24"/>
          <w:szCs w:val="24"/>
        </w:rPr>
        <w:br/>
        <w:t xml:space="preserve">Ornamental host plants outdoors in southern EU: economic impact is medium. It is uncertain to which extent plants in gardens, parks, or along roads etc. are endangered.</w:t>
      </w:r>
      <w:r>
        <w:rPr>
          <w:color w:val="0200C9"/>
          <w:sz w:val="24"/>
          <w:szCs w:val="24"/>
        </w:rPr>
        <w:br/>
        <w:t xml:space="preserve">The limited information which is available suggests that locally or incidentally damage may occur in southern Europe. Damaged and dying plants infested with O. sacchari have been observed at some locations.</w:t>
      </w:r>
      <w:r>
        <w:rPr>
          <w:color w:val="0200C9"/>
          <w:sz w:val="24"/>
          <w:szCs w:val="24"/>
        </w:rPr>
        <w:br/>
        <w:t xml:space="preserve">Control measures and associated costs include black light traps for monitoring (and trapping), pheromone lures and tulip bulbs as baits, plus insecticides (pyrethroids), biological control (nematodes) and removal and destruction of weak or suspected (infested)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Incidentally, the economic impact can be relevant, in ornamental crops in glasshouse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Official measures to prevent entry and spread of the pest by import and trade of infested plants have not been very effective, mainly because of the cryptic and polyphagous nature of the pest. The pest has been present in the EU for several decades, but there are no plant passport requirements for many of its host plants to control movement within the EU.</w:t>
      </w:r>
      <w:r>
        <w:rPr>
          <w:color w:val="0200C9"/>
          <w:sz w:val="24"/>
          <w:szCs w:val="24"/>
        </w:rPr>
        <w:br/>
        <w:t xml:space="preserve">In order to reduce the incidence of the pest in the plants for planting, a monitoring regime is required followed by measures aimed at eradication of the pest, should the pest be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has been present in the EU for several decades and a PRA is available (see above).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for the following ornamental plants, based on Europhyt data: Arecaceae (Palmae), Beaucarnea, Bougainvillea, Crassula, Crinum, Dracaena, Ficus, Pachira, Sansevieria and Yucca (genera with two or more interceptions notified on Europhyt) plus Musa.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Opogona sacchari;</w:t>
      </w:r>
      <w:r>
        <w:rPr>
          <w:color w:val="0200C9"/>
          <w:sz w:val="24"/>
          <w:szCs w:val="24"/>
        </w:rPr>
        <w:br/>
        <w:t xml:space="preserve">OR</w:t>
      </w:r>
      <w:r>
        <w:rPr>
          <w:color w:val="0200C9"/>
          <w:sz w:val="24"/>
          <w:szCs w:val="24"/>
        </w:rPr>
        <w:br/>
        <w:t xml:space="preserve">(B) The plant has been grown at a production site at which no symptoms or signs of Opgona sacchari have been observed in inspections carried out at least every three months during a period of at least 6 months prior to marketing;</w:t>
      </w:r>
      <w:r>
        <w:rPr>
          <w:color w:val="0200C9"/>
          <w:sz w:val="24"/>
          <w:szCs w:val="24"/>
        </w:rPr>
        <w:br/>
        <w:t xml:space="preserve">OR</w:t>
      </w:r>
      <w:r>
        <w:rPr>
          <w:color w:val="0200C9"/>
          <w:sz w:val="24"/>
          <w:szCs w:val="24"/>
        </w:rPr>
        <w:br/>
        <w:t xml:space="preserve">(C) (a) A regime is applied on the site of production aimed at monitoring and suppressing the population of Opogona sacchari and at removing infested plants;</w:t>
      </w:r>
      <w:r>
        <w:rPr>
          <w:color w:val="0200C9"/>
          <w:sz w:val="24"/>
          <w:szCs w:val="24"/>
        </w:rPr>
        <w:br/>
        <w:t xml:space="preserve">and</w:t>
      </w:r>
      <w:r>
        <w:rPr>
          <w:color w:val="0200C9"/>
          <w:sz w:val="24"/>
          <w:szCs w:val="24"/>
        </w:rPr>
        <w:br/>
        <w:t xml:space="preserve">(b) Each lot inspected before dispatch and found free from symptoms of Opogona sacchari.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has a life cycle of 3 months at 15°C. These crops are generally grown indoors (temperature higher than 15°C). An inspection carried out at least every three months during a period of at least 6 months prior to marketing should be sufficient to detect the pest.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62669">
    <w:multiLevelType w:val="hybridMultilevel"/>
    <w:lvl w:ilvl="0" w:tplc="67432669">
      <w:start w:val="1"/>
      <w:numFmt w:val="decimal"/>
      <w:lvlText w:val="%1."/>
      <w:lvlJc w:val="left"/>
      <w:pPr>
        <w:ind w:left="720" w:hanging="360"/>
      </w:pPr>
    </w:lvl>
    <w:lvl w:ilvl="1" w:tplc="67432669" w:tentative="1">
      <w:start w:val="1"/>
      <w:numFmt w:val="lowerLetter"/>
      <w:lvlText w:val="%2."/>
      <w:lvlJc w:val="left"/>
      <w:pPr>
        <w:ind w:left="1440" w:hanging="360"/>
      </w:pPr>
    </w:lvl>
    <w:lvl w:ilvl="2" w:tplc="67432669" w:tentative="1">
      <w:start w:val="1"/>
      <w:numFmt w:val="lowerRoman"/>
      <w:lvlText w:val="%3."/>
      <w:lvlJc w:val="right"/>
      <w:pPr>
        <w:ind w:left="2160" w:hanging="180"/>
      </w:pPr>
    </w:lvl>
    <w:lvl w:ilvl="3" w:tplc="67432669" w:tentative="1">
      <w:start w:val="1"/>
      <w:numFmt w:val="decimal"/>
      <w:lvlText w:val="%4."/>
      <w:lvlJc w:val="left"/>
      <w:pPr>
        <w:ind w:left="2880" w:hanging="360"/>
      </w:pPr>
    </w:lvl>
    <w:lvl w:ilvl="4" w:tplc="67432669" w:tentative="1">
      <w:start w:val="1"/>
      <w:numFmt w:val="lowerLetter"/>
      <w:lvlText w:val="%5."/>
      <w:lvlJc w:val="left"/>
      <w:pPr>
        <w:ind w:left="3600" w:hanging="360"/>
      </w:pPr>
    </w:lvl>
    <w:lvl w:ilvl="5" w:tplc="67432669" w:tentative="1">
      <w:start w:val="1"/>
      <w:numFmt w:val="lowerRoman"/>
      <w:lvlText w:val="%6."/>
      <w:lvlJc w:val="right"/>
      <w:pPr>
        <w:ind w:left="4320" w:hanging="180"/>
      </w:pPr>
    </w:lvl>
    <w:lvl w:ilvl="6" w:tplc="67432669" w:tentative="1">
      <w:start w:val="1"/>
      <w:numFmt w:val="decimal"/>
      <w:lvlText w:val="%7."/>
      <w:lvlJc w:val="left"/>
      <w:pPr>
        <w:ind w:left="5040" w:hanging="360"/>
      </w:pPr>
    </w:lvl>
    <w:lvl w:ilvl="7" w:tplc="67432669" w:tentative="1">
      <w:start w:val="1"/>
      <w:numFmt w:val="lowerLetter"/>
      <w:lvlText w:val="%8."/>
      <w:lvlJc w:val="left"/>
      <w:pPr>
        <w:ind w:left="5760" w:hanging="360"/>
      </w:pPr>
    </w:lvl>
    <w:lvl w:ilvl="8" w:tplc="67432669" w:tentative="1">
      <w:start w:val="1"/>
      <w:numFmt w:val="lowerRoman"/>
      <w:lvlText w:val="%9."/>
      <w:lvlJc w:val="right"/>
      <w:pPr>
        <w:ind w:left="6480" w:hanging="180"/>
      </w:pPr>
    </w:lvl>
  </w:abstractNum>
  <w:abstractNum w:abstractNumId="55862668">
    <w:multiLevelType w:val="hybridMultilevel"/>
    <w:lvl w:ilvl="0" w:tplc="41650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62668">
    <w:abstractNumId w:val="55862668"/>
  </w:num>
  <w:num w:numId="55862669">
    <w:abstractNumId w:val="558626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968715" Type="http://schemas.microsoft.com/office/2011/relationships/commentsExtended" Target="commentsExtended.xml"/><Relationship Id="rId70196901b549cb4f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