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Scale insects (NULL1)</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replies to the RNQP Questionnaire, DE justified a listing at a higher level than the species level arguing that 'several species of pests are important and cause similar damage and have an unacceptable economic impact. Listing at this level allows decision on visual inspection instead of sampling and testing/identification'. On the contrary, FI considered that the only scale insect to be listed should be Quadraspidiotus perniciosus on Malus and Prunus. However, earlier in the Questionnaire, FI recommended the deregulation of this pest.</w:t>
      </w:r>
      <w:r>
        <w:rPr>
          <w:color w:val="F30000"/>
          <w:sz w:val="24"/>
          <w:szCs w:val="24"/>
        </w:rPr>
        <w:br/>
        <w:t xml:space="preserve">Scale insects of pome and stone fruits (both for production and for ornamental purpose) include a large number of species belonging to three main families: Coccidae, Pseudococcidae and Diaspidinae. Generally members of these families are polyphagous, widespread and with limited movement. Their damages are only occasional and not related to specific host species. All members of Coccidae and Pseudococcidae have little economic impact in ornamental pome and stone fruits. Within the Diaspidinae family, only Quadraspidiotus perniciosus is really impacting. Q. perniciosus is listed in EPPO A2 list and in several EPPO PM 4 Standards (PM 4/27, PM 4/29 and PM 4/30) (scalenet.info). Therefore experts did not consider that a listing at a higher level than the species level was justified.</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Diaspidiotus perniciosus (San José scale). Invasive species compendium. CABI, Wallingford, UK. Available online from </w:t>
      </w:r>
      <w:hyperlink r:id="rId98576993ebee70e94" w:history="1">
        <w:r>
          <w:rPr>
            <w:color w:val="0200C9"/>
            <w:sz w:val="24"/>
            <w:szCs w:val="24"/>
          </w:rPr>
          <w:t xml:space="preserve">http://www.cabi.org/isc/datasheet/46224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PP 2/18 (1) Good plant protection practice. Pome fruits. Bulletin OEP/EPPO Bulletin 29,379–406;</w:t>
      </w:r>
    </w:p>
    <w:p>
      <w:pPr>
        <w:numPr>
          <w:ilvl w:val="0"/>
          <w:numId w:val="1"/>
        </w:numPr>
        <w:spacing w:before="0" w:after="0" w:line="240" w:lineRule="auto"/>
        <w:jc w:val="left"/>
        <w:rPr>
          <w:color w:val="0200C9"/>
          <w:sz w:val="24"/>
          <w:szCs w:val="24"/>
        </w:rPr>
      </w:pPr>
      <w:r>
        <w:rPr>
          <w:color w:val="0200C9"/>
          <w:sz w:val="24"/>
          <w:szCs w:val="24"/>
        </w:rPr>
        <w:t xml:space="preserve">EPPO (2004) PP 2/33 (1) Good plant protection practice. Stone fruits. Bulletin OEP/EPPO Bulletin 34,427-438;</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2017. Datasheets Diaspidiotus perniciosus (San José scale). Invasive species compendium. CABI, Wallingford, UK. Available from </w:t>
      </w:r>
      <w:hyperlink r:id="rId21946993ebee711b8" w:history="1">
        <w:r>
          <w:rPr>
            <w:color w:val="0200C9"/>
            <w:sz w:val="24"/>
            <w:szCs w:val="24"/>
          </w:rPr>
          <w:t xml:space="preserve">http://www.cabi.org/isc/datasheet/46224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PP 2/33 (1) Good plant protection practice. Stone fruits. Bulletin OEP/EPPO Bulletin 34, 427-438;</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Diaspidiotus perniciosus (San José scale). Invasive species compendium. CABI, Wallingford, UK. Available online from </w:t>
      </w:r>
      <w:hyperlink r:id="rId10156993ebee714d2" w:history="1">
        <w:r>
          <w:rPr>
            <w:color w:val="0200C9"/>
            <w:sz w:val="24"/>
            <w:szCs w:val="24"/>
          </w:rPr>
          <w:t xml:space="preserve">http://www.cabi.org/isc/datasheet/46224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PP 2/18 (1) Good plant protection practice. Pome fruits. Bulletin OEP/EPPO Bulletin 29,379–406;</w:t>
      </w:r>
    </w:p>
    <w:p>
      <w:pPr>
        <w:numPr>
          <w:ilvl w:val="0"/>
          <w:numId w:val="1"/>
        </w:numPr>
        <w:spacing w:before="0" w:after="0" w:line="240" w:lineRule="auto"/>
        <w:jc w:val="left"/>
        <w:rPr>
          <w:color w:val="0200C9"/>
          <w:sz w:val="24"/>
          <w:szCs w:val="24"/>
        </w:rPr>
      </w:pPr>
      <w:r>
        <w:rPr>
          <w:color w:val="0200C9"/>
          <w:sz w:val="24"/>
          <w:szCs w:val="24"/>
        </w:rPr>
        <w:t xml:space="preserve">EPPO (2004) PP 2/33 (1) Good plant protection practice. Stone fruits. Bulletin OEP/EPPO Bulletin 34,427-438;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362399">
    <w:multiLevelType w:val="hybridMultilevel"/>
    <w:lvl w:ilvl="0" w:tplc="28181965">
      <w:start w:val="1"/>
      <w:numFmt w:val="decimal"/>
      <w:lvlText w:val="%1."/>
      <w:lvlJc w:val="left"/>
      <w:pPr>
        <w:ind w:left="720" w:hanging="360"/>
      </w:pPr>
    </w:lvl>
    <w:lvl w:ilvl="1" w:tplc="28181965" w:tentative="1">
      <w:start w:val="1"/>
      <w:numFmt w:val="lowerLetter"/>
      <w:lvlText w:val="%2."/>
      <w:lvlJc w:val="left"/>
      <w:pPr>
        <w:ind w:left="1440" w:hanging="360"/>
      </w:pPr>
    </w:lvl>
    <w:lvl w:ilvl="2" w:tplc="28181965" w:tentative="1">
      <w:start w:val="1"/>
      <w:numFmt w:val="lowerRoman"/>
      <w:lvlText w:val="%3."/>
      <w:lvlJc w:val="right"/>
      <w:pPr>
        <w:ind w:left="2160" w:hanging="180"/>
      </w:pPr>
    </w:lvl>
    <w:lvl w:ilvl="3" w:tplc="28181965" w:tentative="1">
      <w:start w:val="1"/>
      <w:numFmt w:val="decimal"/>
      <w:lvlText w:val="%4."/>
      <w:lvlJc w:val="left"/>
      <w:pPr>
        <w:ind w:left="2880" w:hanging="360"/>
      </w:pPr>
    </w:lvl>
    <w:lvl w:ilvl="4" w:tplc="28181965" w:tentative="1">
      <w:start w:val="1"/>
      <w:numFmt w:val="lowerLetter"/>
      <w:lvlText w:val="%5."/>
      <w:lvlJc w:val="left"/>
      <w:pPr>
        <w:ind w:left="3600" w:hanging="360"/>
      </w:pPr>
    </w:lvl>
    <w:lvl w:ilvl="5" w:tplc="28181965" w:tentative="1">
      <w:start w:val="1"/>
      <w:numFmt w:val="lowerRoman"/>
      <w:lvlText w:val="%6."/>
      <w:lvlJc w:val="right"/>
      <w:pPr>
        <w:ind w:left="4320" w:hanging="180"/>
      </w:pPr>
    </w:lvl>
    <w:lvl w:ilvl="6" w:tplc="28181965" w:tentative="1">
      <w:start w:val="1"/>
      <w:numFmt w:val="decimal"/>
      <w:lvlText w:val="%7."/>
      <w:lvlJc w:val="left"/>
      <w:pPr>
        <w:ind w:left="5040" w:hanging="360"/>
      </w:pPr>
    </w:lvl>
    <w:lvl w:ilvl="7" w:tplc="28181965" w:tentative="1">
      <w:start w:val="1"/>
      <w:numFmt w:val="lowerLetter"/>
      <w:lvlText w:val="%8."/>
      <w:lvlJc w:val="left"/>
      <w:pPr>
        <w:ind w:left="5760" w:hanging="360"/>
      </w:pPr>
    </w:lvl>
    <w:lvl w:ilvl="8" w:tplc="28181965" w:tentative="1">
      <w:start w:val="1"/>
      <w:numFmt w:val="lowerRoman"/>
      <w:lvlText w:val="%9."/>
      <w:lvlJc w:val="right"/>
      <w:pPr>
        <w:ind w:left="6480" w:hanging="180"/>
      </w:pPr>
    </w:lvl>
  </w:abstractNum>
  <w:abstractNum w:abstractNumId="29362398">
    <w:multiLevelType w:val="hybridMultilevel"/>
    <w:lvl w:ilvl="0" w:tplc="401663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362398">
    <w:abstractNumId w:val="29362398"/>
  </w:num>
  <w:num w:numId="29362399">
    <w:abstractNumId w:val="293623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1038233" Type="http://schemas.microsoft.com/office/2011/relationships/commentsExtended" Target="commentsExtended.xml"/><Relationship Id="rId98576993ebee70e94" Type="http://schemas.openxmlformats.org/officeDocument/2006/relationships/hyperlink" Target="http://www.cabi.org/isc/datasheet/46224" TargetMode="External"/><Relationship Id="rId21946993ebee711b8" Type="http://schemas.openxmlformats.org/officeDocument/2006/relationships/hyperlink" Target="http://www.cabi.org/isc/datasheet/46224" TargetMode="External"/><Relationship Id="rId10156993ebee714d2" Type="http://schemas.openxmlformats.org/officeDocument/2006/relationships/hyperlink" Target="http://www.cabi.org/isc/datasheet/4622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