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8468f52febe906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4/19 Standard on Begonia. Because publications mainly refer to Begonia sp., experts agreed to refer to the host plant as Begonia rather than only Begonia x hiemalis.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4/19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Tian X, Zheng Y, Chintaluri K &amp; Meng B (2013) First report of Impatiens necrotic spot virus on Hiemalis begonia (Begonia × hiemalis) in Canada. Plant Disease 97, 291. Available at </w:t>
      </w:r>
      <w:hyperlink r:id="rId460368f52febe9281" w:history="1">
        <w:r>
          <w:rPr>
            <w:color w:val="0200C9"/>
            <w:sz w:val="24"/>
            <w:szCs w:val="24"/>
          </w:rPr>
          <w:t xml:space="preserve">https://doi.org/10.1094/PDIS-09-12-0868-PDN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Trkulja V, Mihić, Salapura J, Ćurković B, Stanković I, Bulajić, A. Vučurović &amp; B. Krstić (2013) First Report of Impatiens necrotic spot virus on Begonia in Bosnia and Herzegovina. Plant Diseases 97, 7, 1004. </w:t>
      </w:r>
      <w:hyperlink r:id="rId204268f52febe92a4" w:history="1">
        <w:r>
          <w:rPr>
            <w:color w:val="0200C9"/>
            <w:sz w:val="24"/>
            <w:szCs w:val="24"/>
          </w:rPr>
          <w:t xml:space="preserve">https://doi.org/10.1094/PDIS-01-13-0088-PDN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Dianthus caryophyllus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Dianthus caryophyllus were positive for INSV (Shahraeen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F30000"/>
          <w:sz w:val="24"/>
          <w:szCs w:val="24"/>
        </w:rPr>
        <w:br/>
        <w:t xml:space="preserve">Roses (Rosa hybrids) and poinsettias (Euphorbia pulcherrima) are the only major flower crops not susceptible to INSV or TSWV (Daughtrey et al., 1997). Euphorbia pulcherrima is not included in the plant species found infected with INSV in the Netherlands (Verhoeven and Roenhorst, 1998).</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One record is available on this host from New Zealand (Elliott et al., 2009) and Italy (Vicchi &amp; Bellardi, 1996). However Gerbera is not included in the plant species found infected with INSV in the Netherlands (Verhoeven and Roenhorst, 1998) and in the USA (Daughtrey et al., 1997).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on direct impacts on this host found in the references.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numPr>
          <w:ilvl w:val="0"/>
          <w:numId w:val="1"/>
        </w:numPr>
        <w:spacing w:before="0" w:after="0" w:line="240" w:lineRule="auto"/>
        <w:jc w:val="left"/>
        <w:rPr>
          <w:color w:val="0200C9"/>
          <w:sz w:val="24"/>
          <w:szCs w:val="24"/>
        </w:rPr>
      </w:pPr>
      <w:r>
        <w:rPr>
          <w:color w:val="0200C9"/>
          <w:sz w:val="24"/>
          <w:szCs w:val="24"/>
        </w:rPr>
        <w:t xml:space="preserve">Vicchi V &amp; Bellardi MG (1996) Evaluation of the ELISA technique in the diagnosis of tospoviruses in ornamental plants. Informatore Fitopatologico 46, 60-63;</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4/20 Standard for New Guinea hybrids of impatiens.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4/20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certification scheme PM 4/3 for Pelargonium. However experts decided to continue the evaluation because of uncertainties concerning the unacceptable economic impact on this host plant.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Pelargonium sp. has not been listed in the host plant of INSV in Verhoeven and Roenhorst, (1998), Lebas and Ochoa-Corona (2007) and Elliott et al., (2009).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Pelargonium roseum were positive for INSV (Shahraeen et al., 2002). No significant crop losses in Pelargonium spp. from tospoviruses were reported even though INSV and TSWV have occasionally been detected in Pelargonium × hortorum and Pelargonium peltatum in the USA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the RNQP Status despite listed in a EPPO PM 4 Standard on this host,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48334">
    <w:multiLevelType w:val="hybridMultilevel"/>
    <w:lvl w:ilvl="0" w:tplc="17213034">
      <w:start w:val="1"/>
      <w:numFmt w:val="decimal"/>
      <w:lvlText w:val="%1."/>
      <w:lvlJc w:val="left"/>
      <w:pPr>
        <w:ind w:left="720" w:hanging="360"/>
      </w:pPr>
    </w:lvl>
    <w:lvl w:ilvl="1" w:tplc="17213034" w:tentative="1">
      <w:start w:val="1"/>
      <w:numFmt w:val="lowerLetter"/>
      <w:lvlText w:val="%2."/>
      <w:lvlJc w:val="left"/>
      <w:pPr>
        <w:ind w:left="1440" w:hanging="360"/>
      </w:pPr>
    </w:lvl>
    <w:lvl w:ilvl="2" w:tplc="17213034" w:tentative="1">
      <w:start w:val="1"/>
      <w:numFmt w:val="lowerRoman"/>
      <w:lvlText w:val="%3."/>
      <w:lvlJc w:val="right"/>
      <w:pPr>
        <w:ind w:left="2160" w:hanging="180"/>
      </w:pPr>
    </w:lvl>
    <w:lvl w:ilvl="3" w:tplc="17213034" w:tentative="1">
      <w:start w:val="1"/>
      <w:numFmt w:val="decimal"/>
      <w:lvlText w:val="%4."/>
      <w:lvlJc w:val="left"/>
      <w:pPr>
        <w:ind w:left="2880" w:hanging="360"/>
      </w:pPr>
    </w:lvl>
    <w:lvl w:ilvl="4" w:tplc="17213034" w:tentative="1">
      <w:start w:val="1"/>
      <w:numFmt w:val="lowerLetter"/>
      <w:lvlText w:val="%5."/>
      <w:lvlJc w:val="left"/>
      <w:pPr>
        <w:ind w:left="3600" w:hanging="360"/>
      </w:pPr>
    </w:lvl>
    <w:lvl w:ilvl="5" w:tplc="17213034" w:tentative="1">
      <w:start w:val="1"/>
      <w:numFmt w:val="lowerRoman"/>
      <w:lvlText w:val="%6."/>
      <w:lvlJc w:val="right"/>
      <w:pPr>
        <w:ind w:left="4320" w:hanging="180"/>
      </w:pPr>
    </w:lvl>
    <w:lvl w:ilvl="6" w:tplc="17213034" w:tentative="1">
      <w:start w:val="1"/>
      <w:numFmt w:val="decimal"/>
      <w:lvlText w:val="%7."/>
      <w:lvlJc w:val="left"/>
      <w:pPr>
        <w:ind w:left="5040" w:hanging="360"/>
      </w:pPr>
    </w:lvl>
    <w:lvl w:ilvl="7" w:tplc="17213034" w:tentative="1">
      <w:start w:val="1"/>
      <w:numFmt w:val="lowerLetter"/>
      <w:lvlText w:val="%8."/>
      <w:lvlJc w:val="left"/>
      <w:pPr>
        <w:ind w:left="5760" w:hanging="360"/>
      </w:pPr>
    </w:lvl>
    <w:lvl w:ilvl="8" w:tplc="17213034" w:tentative="1">
      <w:start w:val="1"/>
      <w:numFmt w:val="lowerRoman"/>
      <w:lvlText w:val="%9."/>
      <w:lvlJc w:val="right"/>
      <w:pPr>
        <w:ind w:left="6480" w:hanging="180"/>
      </w:pPr>
    </w:lvl>
  </w:abstractNum>
  <w:abstractNum w:abstractNumId="31748333">
    <w:multiLevelType w:val="hybridMultilevel"/>
    <w:lvl w:ilvl="0" w:tplc="190754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48333">
    <w:abstractNumId w:val="31748333"/>
  </w:num>
  <w:num w:numId="31748334">
    <w:abstractNumId w:val="317483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4523827" Type="http://schemas.microsoft.com/office/2011/relationships/commentsExtended" Target="commentsExtended.xml"/><Relationship Id="rId678468f52febe906e" Type="http://schemas.openxmlformats.org/officeDocument/2006/relationships/hyperlink" Target="https://gd.eppo.int/" TargetMode="External"/><Relationship Id="rId460368f52febe9281" Type="http://schemas.openxmlformats.org/officeDocument/2006/relationships/hyperlink" Target="https://doi.org/10.1094/PDIS-09-12-0868-PDN" TargetMode="External"/><Relationship Id="rId204268f52febe92a4" Type="http://schemas.openxmlformats.org/officeDocument/2006/relationships/hyperlink" Target="https://doi.org/10.1094/PDIS-01-13-0088-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