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Gooseberry vein banding associated virus (GOVB00)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Vein clearing and vein net of blackcurrant</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color w:val="000000"/>
          <w:sz w:val="24"/>
          <w:szCs w:val="24"/>
          <w:u w:val="single"/>
        </w:rPr>
        <w:br/>
        <w:br/>
        <w:t xml:space="preserve">Remarks:</w:t>
      </w:r>
      <w:r>
        <w:rPr>
          <w:color w:val="000000"/>
          <w:sz w:val="24"/>
          <w:szCs w:val="24"/>
        </w:rPr>
        <w:t xml:space="preserve">
</w:t>
      </w:r>
      <w:r>
        <w:rPr>
          <w:color w:val="0200C9"/>
          <w:sz w:val="24"/>
          <w:szCs w:val="24"/>
        </w:rPr>
        <w:t xml:space="preserve">Vein clearing of blackcurrant, Vein net of blackcurrant and Gooseberry vein banding (on Ribes) can thus be ascribed to Gooseberry vein banding disease, a disease closely associated with Gooseberry vein banding associated virus (GVBaV) (Jones et al., 2001). However, in the Netherlands grafting experiments done with Red currant vein banding agent and Gooseberry vein banding agent (by F van der Meer, IPO Wageningen, Personal communication) demonstrated that these two agents are not identical. Experts therefore suggested giving Red Currant Vein Banding a separate denomination (as an agent).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N°2: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N°3: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176423">
    <w:multiLevelType w:val="hybridMultilevel"/>
    <w:lvl w:ilvl="0" w:tplc="58510175">
      <w:start w:val="1"/>
      <w:numFmt w:val="decimal"/>
      <w:lvlText w:val="%1."/>
      <w:lvlJc w:val="left"/>
      <w:pPr>
        <w:ind w:left="720" w:hanging="360"/>
      </w:pPr>
    </w:lvl>
    <w:lvl w:ilvl="1" w:tplc="58510175" w:tentative="1">
      <w:start w:val="1"/>
      <w:numFmt w:val="lowerLetter"/>
      <w:lvlText w:val="%2."/>
      <w:lvlJc w:val="left"/>
      <w:pPr>
        <w:ind w:left="1440" w:hanging="360"/>
      </w:pPr>
    </w:lvl>
    <w:lvl w:ilvl="2" w:tplc="58510175" w:tentative="1">
      <w:start w:val="1"/>
      <w:numFmt w:val="lowerRoman"/>
      <w:lvlText w:val="%3."/>
      <w:lvlJc w:val="right"/>
      <w:pPr>
        <w:ind w:left="2160" w:hanging="180"/>
      </w:pPr>
    </w:lvl>
    <w:lvl w:ilvl="3" w:tplc="58510175" w:tentative="1">
      <w:start w:val="1"/>
      <w:numFmt w:val="decimal"/>
      <w:lvlText w:val="%4."/>
      <w:lvlJc w:val="left"/>
      <w:pPr>
        <w:ind w:left="2880" w:hanging="360"/>
      </w:pPr>
    </w:lvl>
    <w:lvl w:ilvl="4" w:tplc="58510175" w:tentative="1">
      <w:start w:val="1"/>
      <w:numFmt w:val="lowerLetter"/>
      <w:lvlText w:val="%5."/>
      <w:lvlJc w:val="left"/>
      <w:pPr>
        <w:ind w:left="3600" w:hanging="360"/>
      </w:pPr>
    </w:lvl>
    <w:lvl w:ilvl="5" w:tplc="58510175" w:tentative="1">
      <w:start w:val="1"/>
      <w:numFmt w:val="lowerRoman"/>
      <w:lvlText w:val="%6."/>
      <w:lvlJc w:val="right"/>
      <w:pPr>
        <w:ind w:left="4320" w:hanging="180"/>
      </w:pPr>
    </w:lvl>
    <w:lvl w:ilvl="6" w:tplc="58510175" w:tentative="1">
      <w:start w:val="1"/>
      <w:numFmt w:val="decimal"/>
      <w:lvlText w:val="%7."/>
      <w:lvlJc w:val="left"/>
      <w:pPr>
        <w:ind w:left="5040" w:hanging="360"/>
      </w:pPr>
    </w:lvl>
    <w:lvl w:ilvl="7" w:tplc="58510175" w:tentative="1">
      <w:start w:val="1"/>
      <w:numFmt w:val="lowerLetter"/>
      <w:lvlText w:val="%8."/>
      <w:lvlJc w:val="left"/>
      <w:pPr>
        <w:ind w:left="5760" w:hanging="360"/>
      </w:pPr>
    </w:lvl>
    <w:lvl w:ilvl="8" w:tplc="58510175" w:tentative="1">
      <w:start w:val="1"/>
      <w:numFmt w:val="lowerRoman"/>
      <w:lvlText w:val="%9."/>
      <w:lvlJc w:val="right"/>
      <w:pPr>
        <w:ind w:left="6480" w:hanging="180"/>
      </w:pPr>
    </w:lvl>
  </w:abstractNum>
  <w:abstractNum w:abstractNumId="83176422">
    <w:multiLevelType w:val="hybridMultilevel"/>
    <w:lvl w:ilvl="0" w:tplc="387166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176422">
    <w:abstractNumId w:val="83176422"/>
  </w:num>
  <w:num w:numId="83176423">
    <w:abstractNumId w:val="831764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803086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