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Gibberella fujikuroi (Fusarium fujikuroi) GIBBFU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Bulgaria, Croatia, Czech Republic, France, Germany, Greece, Hungary, Italy, Netherlands, Poland, Portugal, Romania, Spain, UK (CABI, 2014). Experts confirmed that the pest is present worldwide on maize. It is the main fusarium species in south of Europe and in tropical areas, in areas where rice is grown. Fumunisines mycotoxines produced by F. fujikuroi can be used to determine where the fungus is present.</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 fujikuroi has several host plants from different families (polyphagous). Rice is one of the main host plants but maize and sorghum are very common hosts. G. fujikuroi is a seed-borne pathogen causing seedling rot. Transmission of G. fujikuroi by rice seeds was demonstrated. In fields free from surviving spores from the previous crop and infected debris, infected seeds would be considered to be the main source of infection (CABI, 2014). If fields are infected from the previous crop (e.g. if maize was the previous crop cultivated), pest treatment and stress management (and sometimes crop rotation with non-host crop) are available to reduce the risk of infection from this source. Indeed the fungus is relatively short-lived in soil (APS Crop Compendium of Rice Diseases, 1992). Aerial infection by ascospores later in the season cannot be prevented; however seed tests are available to screen out any infected stocks to below the directive tolerances. The SEWG concluded that rotation with rice and maize increases the level of spores. In case of a rotation with wheat (in Camargue, France) or alfalfa, rice seeds can be considered as a significant pathway compared to other pathways. In absence of rotation, or in case of rotation with highly sensitive crops, main source of infection will come from the soil. Rice seeds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have been a number of estimates of losses due this fungus in the world. Reports of losses outside EU ranged from 1% to 95% (e.g. 20-50% yield losses in Japan, 3% to 95% in India, 40% in Nepal, 6.7-58% in Pakistan, 70% to almost complete loss in Australia, up to 75% in Iran, 10%-15% yield losses in Turkey) (APS Crop Compendium of Rice Diseases, 1992; CABI, 2014; Gupta et. al, 2015; Singh and Sunder, 2012). Impacts in the EU are also reported: 5% to 23% in Spain (Singh and Sunder, 2012). F. fujikuroi re-emerged recently as a significantly important disease in Asia and other rice growing countries of the world, especially on aromatic cultivars (the 95% of yiels losses in India was observed on Basmati varieties). The SEWG commented that economic impact is mainly linked to the presence of Fumonisine.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was regulated in the EU in 2012 on the basis of its unacceptable economic impact and the absence of available plant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Seed can be the main pathway if rotation has been used to reduce the importance of carryover of inoculum.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material:</w:t>
      </w:r>
      <w:r>
        <w:rPr>
          <w:color w:val="0200C9"/>
          <w:sz w:val="24"/>
          <w:szCs w:val="24"/>
        </w:rPr>
        <w:br/>
        <w:t xml:space="preserve">Not more than 2 symptomatic plants per 200m2 seen during field inspections at appropriate times of a representative sample of the plants in each crop</w:t>
      </w:r>
      <w:r>
        <w:rPr>
          <w:color w:val="0200C9"/>
          <w:sz w:val="24"/>
          <w:szCs w:val="24"/>
        </w:rPr>
        <w:br/>
        <w:t xml:space="preserve">Certified material of the first generation (C1):</w:t>
      </w:r>
      <w:r>
        <w:rPr>
          <w:color w:val="0200C9"/>
          <w:sz w:val="24"/>
          <w:szCs w:val="24"/>
        </w:rPr>
        <w:br/>
        <w:t xml:space="preserve">Not more than 4 symptomatic plants per 200m2 seen during field inspections at appropriate times of a representative sample of the plants in each crop</w:t>
      </w:r>
      <w:r>
        <w:rPr>
          <w:color w:val="0200C9"/>
          <w:sz w:val="24"/>
          <w:szCs w:val="24"/>
        </w:rPr>
        <w:br/>
        <w:t xml:space="preserve">Certified material of the second generation (C2):</w:t>
      </w:r>
      <w:r>
        <w:rPr>
          <w:color w:val="0200C9"/>
          <w:sz w:val="24"/>
          <w:szCs w:val="24"/>
        </w:rPr>
        <w:br/>
        <w:t xml:space="preserve">Not more than 8 symptomatic plants per 200m2 seen during field inspections at appropriate times of a representative sample of the plants in each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Rice Diseases (1992)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2014. Datasheets Gibberella fujikuroi (bakanae disease of rice). Invasive species compendium. CABI, Wallingford, UK. Available from </w:t>
      </w:r>
      <w:hyperlink r:id="rId10106a32ac5ebb082" w:history="1">
        <w:r>
          <w:rPr>
            <w:color w:val="0200C9"/>
            <w:sz w:val="24"/>
            <w:szCs w:val="24"/>
          </w:rPr>
          <w:t xml:space="preserve">http://www.cabi.org/isc/datasheet/25158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AK, Solanki IS, Bashyal BM Singh Y and Srivastava K (2015) Bakanae of rice - an emerging disease in Asia. The Journal of Animal &amp; Plant Sciences, 25(6). Page: 1499-1514. ISSN: 1018-7081;</w:t>
      </w:r>
    </w:p>
    <w:p>
      <w:pPr>
        <w:numPr>
          <w:ilvl w:val="0"/>
          <w:numId w:val="1"/>
        </w:numPr>
        <w:spacing w:before="0" w:after="0" w:line="240" w:lineRule="auto"/>
        <w:jc w:val="left"/>
        <w:rPr>
          <w:color w:val="0200C9"/>
          <w:sz w:val="24"/>
          <w:szCs w:val="24"/>
        </w:rPr>
      </w:pPr>
      <w:r>
        <w:rPr>
          <w:color w:val="0200C9"/>
          <w:sz w:val="24"/>
          <w:szCs w:val="24"/>
        </w:rPr>
        <w:t xml:space="preserve">Singh R and Sunder S (2012) Foot rot and bakanae of rice: an overview. Indian Society of Mycology and Plant Pathology. Rev. Plant Pathol. Vol. 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318221">
    <w:multiLevelType w:val="hybridMultilevel"/>
    <w:lvl w:ilvl="0" w:tplc="72434011">
      <w:start w:val="1"/>
      <w:numFmt w:val="decimal"/>
      <w:lvlText w:val="%1."/>
      <w:lvlJc w:val="left"/>
      <w:pPr>
        <w:ind w:left="720" w:hanging="360"/>
      </w:pPr>
    </w:lvl>
    <w:lvl w:ilvl="1" w:tplc="72434011" w:tentative="1">
      <w:start w:val="1"/>
      <w:numFmt w:val="lowerLetter"/>
      <w:lvlText w:val="%2."/>
      <w:lvlJc w:val="left"/>
      <w:pPr>
        <w:ind w:left="1440" w:hanging="360"/>
      </w:pPr>
    </w:lvl>
    <w:lvl w:ilvl="2" w:tplc="72434011" w:tentative="1">
      <w:start w:val="1"/>
      <w:numFmt w:val="lowerRoman"/>
      <w:lvlText w:val="%3."/>
      <w:lvlJc w:val="right"/>
      <w:pPr>
        <w:ind w:left="2160" w:hanging="180"/>
      </w:pPr>
    </w:lvl>
    <w:lvl w:ilvl="3" w:tplc="72434011" w:tentative="1">
      <w:start w:val="1"/>
      <w:numFmt w:val="decimal"/>
      <w:lvlText w:val="%4."/>
      <w:lvlJc w:val="left"/>
      <w:pPr>
        <w:ind w:left="2880" w:hanging="360"/>
      </w:pPr>
    </w:lvl>
    <w:lvl w:ilvl="4" w:tplc="72434011" w:tentative="1">
      <w:start w:val="1"/>
      <w:numFmt w:val="lowerLetter"/>
      <w:lvlText w:val="%5."/>
      <w:lvlJc w:val="left"/>
      <w:pPr>
        <w:ind w:left="3600" w:hanging="360"/>
      </w:pPr>
    </w:lvl>
    <w:lvl w:ilvl="5" w:tplc="72434011" w:tentative="1">
      <w:start w:val="1"/>
      <w:numFmt w:val="lowerRoman"/>
      <w:lvlText w:val="%6."/>
      <w:lvlJc w:val="right"/>
      <w:pPr>
        <w:ind w:left="4320" w:hanging="180"/>
      </w:pPr>
    </w:lvl>
    <w:lvl w:ilvl="6" w:tplc="72434011" w:tentative="1">
      <w:start w:val="1"/>
      <w:numFmt w:val="decimal"/>
      <w:lvlText w:val="%7."/>
      <w:lvlJc w:val="left"/>
      <w:pPr>
        <w:ind w:left="5040" w:hanging="360"/>
      </w:pPr>
    </w:lvl>
    <w:lvl w:ilvl="7" w:tplc="72434011" w:tentative="1">
      <w:start w:val="1"/>
      <w:numFmt w:val="lowerLetter"/>
      <w:lvlText w:val="%8."/>
      <w:lvlJc w:val="left"/>
      <w:pPr>
        <w:ind w:left="5760" w:hanging="360"/>
      </w:pPr>
    </w:lvl>
    <w:lvl w:ilvl="8" w:tplc="72434011" w:tentative="1">
      <w:start w:val="1"/>
      <w:numFmt w:val="lowerRoman"/>
      <w:lvlText w:val="%9."/>
      <w:lvlJc w:val="right"/>
      <w:pPr>
        <w:ind w:left="6480" w:hanging="180"/>
      </w:pPr>
    </w:lvl>
  </w:abstractNum>
  <w:abstractNum w:abstractNumId="31318220">
    <w:multiLevelType w:val="hybridMultilevel"/>
    <w:lvl w:ilvl="0" w:tplc="30067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318220">
    <w:abstractNumId w:val="31318220"/>
  </w:num>
  <w:num w:numId="31318221">
    <w:abstractNumId w:val="313182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178954" Type="http://schemas.microsoft.com/office/2011/relationships/commentsExtended" Target="commentsExtended.xml"/><Relationship Id="rId10106a32ac5ebb082" Type="http://schemas.openxmlformats.org/officeDocument/2006/relationships/hyperlink" Target="http://www.cabi.org/isc/datasheet/251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