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3669b01bc20832b"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Castanea (1CSNG)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200C9"/>
          <w:sz w:val="24"/>
          <w:szCs w:val="24"/>
        </w:rPr>
        <w:br/>
        <w:br/>
        <w:t xml:space="preserve">Pre-basic, Basic, Certified material, additional measures could include:</w:t>
      </w:r>
      <w:r>
        <w:rPr>
          <w:color w:val="0200C9"/>
          <w:sz w:val="24"/>
          <w:szCs w:val="24"/>
        </w:rPr>
        <w:br/>
        <w:t xml:space="preserve">• First two options only.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with measures proposed by the Forestry SEWG.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725369b01bc208876"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Castanea (1CSNG)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Castanea spp. may be grown for ornamental purposes for landscaping or street trees (e.g. ornamental cultivar C. sativa 'Albomarginata'). However no information was found on the susceptibility of these compared to timber or other uses, so it is suggested that the reasoning from the forestry and fruit sectors for this pest will also apply to ornamental use, as follows: 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The infection of seedlings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C. parasitica is recognised as a quarantine organism:</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716769b01bc208d80"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Castanea (1CSNG)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that measures could be restricted to the ‘production site’ (no reason supporting the regulation of the whole ‘place of production’). Experts agreed to delete the ‘absence of symptoms in the immediate vicinity’ (measure important for quarantine pests). Experts commented that symptoms are quite easy to see and develop quickly (In 3 weeks necrosis on the bark change in orange and disseminate). An alternative to the plant passport withdrawal for 1 year is proposed. Indeed in some area up to 5% disease can be regularly found on place of production. Because protected zones are maintained on the EU territory, the option requiring that plants originate in areas known to be free from C. parasitica is kept.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 Baker R, Parkinson N, Reed P &amp; Woodward S (2013) Rapid pest risk analysis for Cryphonectria parasitica. The Food and Environment Research Agency, available at: </w:t>
      </w:r>
      <w:hyperlink r:id="rId568369b01bc2092ba" w:history="1">
        <w:r>
          <w:rPr>
            <w:color w:val="0200C9"/>
            <w:sz w:val="24"/>
            <w:szCs w:val="24"/>
          </w:rPr>
          <w:t xml:space="preserve">https://secure.fera.defra.gov.uk/phiw/riskRegister/downloadExternalPra.cfm?id=3860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Bragança H, Simões S, Onofre N, Tenreiro R &amp; Rigling D (2007) Cryphonectria parasitica in Portugal: diversity of vegetative compatibility types, mating types, and occurrence of hypovirulence. Forest Pathology 37, 391–402;</w:t>
      </w:r>
    </w:p>
    <w:p>
      <w:pPr>
        <w:numPr>
          <w:ilvl w:val="0"/>
          <w:numId w:val="1"/>
        </w:numPr>
        <w:spacing w:before="0" w:after="0" w:line="240" w:lineRule="auto"/>
        <w:jc w:val="left"/>
        <w:rPr>
          <w:color w:val="0200C9"/>
          <w:sz w:val="24"/>
          <w:szCs w:val="24"/>
        </w:rPr>
      </w:pPr>
      <w:r>
        <w:rPr>
          <w:color w:val="0200C9"/>
          <w:sz w:val="24"/>
          <w:szCs w:val="24"/>
        </w:rPr>
        <w:t xml:space="preserve">Bryner SF, Rigling D &amp; Brunner PC (2012) Invasion history and demographic pattern of Cryphonectria hypovirus 1 across European populations of the chestnut blight fungus. Ecology and Evolution 2, 3227–3241;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490569b01bc209321"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assessment and reduction options for Cryphonectria parasitica in the EU. EFSA Journal 2016;14(12):4641, 54 pp. doi:10.2903/j.efsa.2016.4641 </w:t>
      </w:r>
      <w:hyperlink r:id="rId532669b01bc209353" w:history="1">
        <w:r>
          <w:rPr>
            <w:color w:val="0200C9"/>
            <w:sz w:val="24"/>
            <w:szCs w:val="24"/>
          </w:rPr>
          <w:t xml:space="preserve">https://www.efsa.europa.eu/en/efsajournal/pub/4641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Petto A, Lushaj A, Bounous G, Mal Lushaj B, Mussong M &amp; Tabaku V (2013) Rehabilitative of over-matured sweet chestnut (Castanea sativa Mill.) forests in Tropoja district, Albania. Online International Interdisciplinary Research Journal 3, 87–135; available at: </w:t>
      </w:r>
      <w:hyperlink r:id="rId300369b01bc2093a0" w:history="1">
        <w:r>
          <w:rPr>
            <w:color w:val="0200C9"/>
            <w:sz w:val="24"/>
            <w:szCs w:val="24"/>
          </w:rPr>
          <w:t xml:space="preserve">https://www.researchgate.net/publication/258217946_Rehabilitative_of_over-matured_Sweet_Chestnut_Castanea_sativa_Mill_forests_in_Tropoja_district_Albania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Robin C, Lanz S, Soutrenon A &amp; Rigling D (2010) Dominance of natural over released biological control agents of the chestnut blight fungus Cryphonectria parasitica in south-eastern France is associated with fitness-related traits. Biological Control 53, 55–61;</w:t>
      </w:r>
    </w:p>
    <w:p>
      <w:pPr>
        <w:numPr>
          <w:ilvl w:val="0"/>
          <w:numId w:val="1"/>
        </w:numPr>
        <w:spacing w:before="0" w:after="0" w:line="240" w:lineRule="auto"/>
        <w:jc w:val="left"/>
        <w:rPr>
          <w:color w:val="0200C9"/>
          <w:sz w:val="24"/>
          <w:szCs w:val="24"/>
        </w:rPr>
      </w:pPr>
      <w:r>
        <w:rPr>
          <w:color w:val="0200C9"/>
          <w:sz w:val="24"/>
          <w:szCs w:val="24"/>
        </w:rPr>
        <w:t xml:space="preserve">Tizado EJ, Terron A &amp; Nunez-Perez E (2012) A methodology to evaluate disease severity: a case study of chestnut blight in El Bierzo region (northwestern Spain). Annals of Applied Biology 161, 81–90;</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Quercus (1QUEG)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327069b01bc20976c"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Quercus (1QUEG)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Quercus spp. may be grown for ornamental purposes for landscaping or street trees. However no information was found on the susceptibility of these compared to timber or other uses, so it is suggested to the SEWG that the reasoning from the forestry sector for this pest (that it is not a significant pathway), will also apply to ornamental use, as follows: 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579369b01bc209bc2"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10863">
    <w:multiLevelType w:val="hybridMultilevel"/>
    <w:lvl w:ilvl="0" w:tplc="12001720">
      <w:start w:val="1"/>
      <w:numFmt w:val="decimal"/>
      <w:lvlText w:val="%1."/>
      <w:lvlJc w:val="left"/>
      <w:pPr>
        <w:ind w:left="720" w:hanging="360"/>
      </w:pPr>
    </w:lvl>
    <w:lvl w:ilvl="1" w:tplc="12001720" w:tentative="1">
      <w:start w:val="1"/>
      <w:numFmt w:val="lowerLetter"/>
      <w:lvlText w:val="%2."/>
      <w:lvlJc w:val="left"/>
      <w:pPr>
        <w:ind w:left="1440" w:hanging="360"/>
      </w:pPr>
    </w:lvl>
    <w:lvl w:ilvl="2" w:tplc="12001720" w:tentative="1">
      <w:start w:val="1"/>
      <w:numFmt w:val="lowerRoman"/>
      <w:lvlText w:val="%3."/>
      <w:lvlJc w:val="right"/>
      <w:pPr>
        <w:ind w:left="2160" w:hanging="180"/>
      </w:pPr>
    </w:lvl>
    <w:lvl w:ilvl="3" w:tplc="12001720" w:tentative="1">
      <w:start w:val="1"/>
      <w:numFmt w:val="decimal"/>
      <w:lvlText w:val="%4."/>
      <w:lvlJc w:val="left"/>
      <w:pPr>
        <w:ind w:left="2880" w:hanging="360"/>
      </w:pPr>
    </w:lvl>
    <w:lvl w:ilvl="4" w:tplc="12001720" w:tentative="1">
      <w:start w:val="1"/>
      <w:numFmt w:val="lowerLetter"/>
      <w:lvlText w:val="%5."/>
      <w:lvlJc w:val="left"/>
      <w:pPr>
        <w:ind w:left="3600" w:hanging="360"/>
      </w:pPr>
    </w:lvl>
    <w:lvl w:ilvl="5" w:tplc="12001720" w:tentative="1">
      <w:start w:val="1"/>
      <w:numFmt w:val="lowerRoman"/>
      <w:lvlText w:val="%6."/>
      <w:lvlJc w:val="right"/>
      <w:pPr>
        <w:ind w:left="4320" w:hanging="180"/>
      </w:pPr>
    </w:lvl>
    <w:lvl w:ilvl="6" w:tplc="12001720" w:tentative="1">
      <w:start w:val="1"/>
      <w:numFmt w:val="decimal"/>
      <w:lvlText w:val="%7."/>
      <w:lvlJc w:val="left"/>
      <w:pPr>
        <w:ind w:left="5040" w:hanging="360"/>
      </w:pPr>
    </w:lvl>
    <w:lvl w:ilvl="7" w:tplc="12001720" w:tentative="1">
      <w:start w:val="1"/>
      <w:numFmt w:val="lowerLetter"/>
      <w:lvlText w:val="%8."/>
      <w:lvlJc w:val="left"/>
      <w:pPr>
        <w:ind w:left="5760" w:hanging="360"/>
      </w:pPr>
    </w:lvl>
    <w:lvl w:ilvl="8" w:tplc="12001720" w:tentative="1">
      <w:start w:val="1"/>
      <w:numFmt w:val="lowerRoman"/>
      <w:lvlText w:val="%9."/>
      <w:lvlJc w:val="right"/>
      <w:pPr>
        <w:ind w:left="6480" w:hanging="180"/>
      </w:pPr>
    </w:lvl>
  </w:abstractNum>
  <w:abstractNum w:abstractNumId="26910862">
    <w:multiLevelType w:val="hybridMultilevel"/>
    <w:lvl w:ilvl="0" w:tplc="118428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10862">
    <w:abstractNumId w:val="26910862"/>
  </w:num>
  <w:num w:numId="26910863">
    <w:abstractNumId w:val="269108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8220653" Type="http://schemas.microsoft.com/office/2011/relationships/commentsExtended" Target="commentsExtended.xml"/><Relationship Id="rId733669b01bc20832b" Type="http://schemas.openxmlformats.org/officeDocument/2006/relationships/hyperlink" Target="https://gd.eppo.int/" TargetMode="External"/><Relationship Id="rId725369b01bc208876" Type="http://schemas.openxmlformats.org/officeDocument/2006/relationships/hyperlink" Target="http://www.efsa.europa.eu/en/efsajournal/doc/3859.pdf" TargetMode="External"/><Relationship Id="rId716769b01bc208d80" Type="http://schemas.openxmlformats.org/officeDocument/2006/relationships/hyperlink" Target="http://www.efsa.europa.eu/en/efsajournal/doc/3859.pdf" TargetMode="External"/><Relationship Id="rId568369b01bc2092ba" Type="http://schemas.openxmlformats.org/officeDocument/2006/relationships/hyperlink" Target="https://secure.fera.defra.gov.uk/phiw/riskRegister/downloadExternalPra.cfm?id=3860" TargetMode="External"/><Relationship Id="rId490569b01bc209321" Type="http://schemas.openxmlformats.org/officeDocument/2006/relationships/hyperlink" Target="http://www.efsa.europa.eu/en/efsajournal/doc/3859.pdf" TargetMode="External"/><Relationship Id="rId532669b01bc209353" Type="http://schemas.openxmlformats.org/officeDocument/2006/relationships/hyperlink" Target="https://www.efsa.europa.eu/en/efsajournal/pub/4641" TargetMode="External"/><Relationship Id="rId300369b01bc2093a0" Type="http://schemas.openxmlformats.org/officeDocument/2006/relationships/hyperlink" Target="https://www.researchgate.net/publication/258217946_Rehabilitative_of_over-matured_Sweet_Chestnut_Castanea_sativa_Mill_forests_in_Tropoja_district_Albania" TargetMode="External"/><Relationship Id="rId327069b01bc20976c" Type="http://schemas.openxmlformats.org/officeDocument/2006/relationships/hyperlink" Target="http://www.efsa.europa.eu/en/efsajournal/doc/3859.pdf" TargetMode="External"/><Relationship Id="rId579369b01bc209bc2"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