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Diaporthe phaseolorum (Diaporthe phaseolorum var. phaseolorum) DIAPPH</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 scientific references to D. phaseolorum var. phaseolorum by itself could be found for soybean, but information for the new preferred name D. phaseolorum will cover the pathogen D. phaseolorum var. sojae and D. phaseolorum var. caulivora (now known as D. caulivora) which have been analysed in a specific summary sheet. The SEWG proposed the only listing of D. caulivora and D. phaseolorum var. sojae on Glycine max. As Risk management measures will be based on visual examination and testing for the Phomopsis complex, measures will indirectly cover D. phaseolorum var. meridionalis.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Glycine max (GLXMA)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Remark: DE indicated in the RNQP Questionnaire that relevance of the disease should be reconsidered (deregulation is proposed).</w:t>
      </w:r>
      <w:r>
        <w:rPr>
          <w:color w:val="0200C9"/>
          <w:sz w:val="24"/>
          <w:szCs w:val="24"/>
        </w:rPr>
        <w:br/>
        <w:t xml:space="preserve">No scientific references to D.phaseolorum var.phaseolorum by itself could be found for soyabean, but information for the new preferred name D. phaseolorum will cover the pathogen D. phaseolorum var. sojae and D. phaseolorum var. caulivora (now known as D. caulivora) which have been analysed above. Therefore this pathogen name will include that information above and the same conclusion can be reached.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D. phaseolorum var. phaseolorum is not a valid name. Experts proposed to only recommend D. caulivora and D. phaseolorum var. sojae on Glycine max for the RNQP status. Risk management measures are proposed for the Phomopsis complex and will indirectly cover D. phaseolorum var. meridionalis.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Pioli RN, Morandi EN, Martínez MC, Lucca F, Tozzini A, Bisaro V &amp; Hopp EH (2003) Morphologic, Molecular, and Pathogenic Characterization of Diaporthe phaseolorum Variability in the Core Soybean-Producing Area of Argentina 93, 136-146. Available at: </w:t>
      </w:r>
      <w:hyperlink r:id="rId56796a66d896431e3" w:history="1">
        <w:r>
          <w:rPr>
            <w:color w:val="0200C9"/>
            <w:sz w:val="24"/>
            <w:szCs w:val="24"/>
          </w:rPr>
          <w:t xml:space="preserve">http://dx.doi.org/10.1094/PHYTO.2003.93.2.136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Udayanga D, Castlebury L, Rossman A, Chukeatirote E &amp; Hyde K (2005) The Diaporthe sojae species complex: phylogenetic re-assessment of pathogens associated with soybean, cucurbits and other field crops. Fungal Biology 119, 383-407. Available at: </w:t>
      </w:r>
      <w:hyperlink r:id="rId91316a66d8964321a" w:history="1">
        <w:r>
          <w:rPr>
            <w:color w:val="0200C9"/>
            <w:sz w:val="24"/>
            <w:szCs w:val="24"/>
          </w:rPr>
          <w:t xml:space="preserve">https://www.cabdirect.org/cabdirect/abstract/20153197023</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640601">
    <w:multiLevelType w:val="hybridMultilevel"/>
    <w:lvl w:ilvl="0" w:tplc="17654122">
      <w:start w:val="1"/>
      <w:numFmt w:val="decimal"/>
      <w:lvlText w:val="%1."/>
      <w:lvlJc w:val="left"/>
      <w:pPr>
        <w:ind w:left="720" w:hanging="360"/>
      </w:pPr>
    </w:lvl>
    <w:lvl w:ilvl="1" w:tplc="17654122" w:tentative="1">
      <w:start w:val="1"/>
      <w:numFmt w:val="lowerLetter"/>
      <w:lvlText w:val="%2."/>
      <w:lvlJc w:val="left"/>
      <w:pPr>
        <w:ind w:left="1440" w:hanging="360"/>
      </w:pPr>
    </w:lvl>
    <w:lvl w:ilvl="2" w:tplc="17654122" w:tentative="1">
      <w:start w:val="1"/>
      <w:numFmt w:val="lowerRoman"/>
      <w:lvlText w:val="%3."/>
      <w:lvlJc w:val="right"/>
      <w:pPr>
        <w:ind w:left="2160" w:hanging="180"/>
      </w:pPr>
    </w:lvl>
    <w:lvl w:ilvl="3" w:tplc="17654122" w:tentative="1">
      <w:start w:val="1"/>
      <w:numFmt w:val="decimal"/>
      <w:lvlText w:val="%4."/>
      <w:lvlJc w:val="left"/>
      <w:pPr>
        <w:ind w:left="2880" w:hanging="360"/>
      </w:pPr>
    </w:lvl>
    <w:lvl w:ilvl="4" w:tplc="17654122" w:tentative="1">
      <w:start w:val="1"/>
      <w:numFmt w:val="lowerLetter"/>
      <w:lvlText w:val="%5."/>
      <w:lvlJc w:val="left"/>
      <w:pPr>
        <w:ind w:left="3600" w:hanging="360"/>
      </w:pPr>
    </w:lvl>
    <w:lvl w:ilvl="5" w:tplc="17654122" w:tentative="1">
      <w:start w:val="1"/>
      <w:numFmt w:val="lowerRoman"/>
      <w:lvlText w:val="%6."/>
      <w:lvlJc w:val="right"/>
      <w:pPr>
        <w:ind w:left="4320" w:hanging="180"/>
      </w:pPr>
    </w:lvl>
    <w:lvl w:ilvl="6" w:tplc="17654122" w:tentative="1">
      <w:start w:val="1"/>
      <w:numFmt w:val="decimal"/>
      <w:lvlText w:val="%7."/>
      <w:lvlJc w:val="left"/>
      <w:pPr>
        <w:ind w:left="5040" w:hanging="360"/>
      </w:pPr>
    </w:lvl>
    <w:lvl w:ilvl="7" w:tplc="17654122" w:tentative="1">
      <w:start w:val="1"/>
      <w:numFmt w:val="lowerLetter"/>
      <w:lvlText w:val="%8."/>
      <w:lvlJc w:val="left"/>
      <w:pPr>
        <w:ind w:left="5760" w:hanging="360"/>
      </w:pPr>
    </w:lvl>
    <w:lvl w:ilvl="8" w:tplc="17654122" w:tentative="1">
      <w:start w:val="1"/>
      <w:numFmt w:val="lowerRoman"/>
      <w:lvlText w:val="%9."/>
      <w:lvlJc w:val="right"/>
      <w:pPr>
        <w:ind w:left="6480" w:hanging="180"/>
      </w:pPr>
    </w:lvl>
  </w:abstractNum>
  <w:abstractNum w:abstractNumId="76640600">
    <w:multiLevelType w:val="hybridMultilevel"/>
    <w:lvl w:ilvl="0" w:tplc="512969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640600">
    <w:abstractNumId w:val="76640600"/>
  </w:num>
  <w:num w:numId="76640601">
    <w:abstractNumId w:val="766406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2359378" Type="http://schemas.microsoft.com/office/2011/relationships/commentsExtended" Target="commentsExtended.xml"/><Relationship Id="rId56796a66d896431e3" Type="http://schemas.openxmlformats.org/officeDocument/2006/relationships/hyperlink" Target="http://dx.doi.org/10.1094/PHYTO.2003.93.2.136" TargetMode="External"/><Relationship Id="rId91316a66d8964321a" Type="http://schemas.openxmlformats.org/officeDocument/2006/relationships/hyperlink" Target="https://www.cabdirect.org/cabdirect/abstract/2015319702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