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461662b5504efafd"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Citrus hybrids (CIDHX)</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Citrus hybrids (CIDHX)</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Fortunella (1FOLG)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Fortunella (1FOLG)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Fortunella hybrids (FOLHY)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Fortunella hybrids (FOLHY)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Poncirus (1PMIG)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Poncirus (1PMIG)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Poncirus hybrids (PMIHY)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Poncirus hybrids (PMIHY)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814300">
    <w:multiLevelType w:val="hybridMultilevel"/>
    <w:lvl w:ilvl="0" w:tplc="50250972">
      <w:start w:val="1"/>
      <w:numFmt w:val="decimal"/>
      <w:lvlText w:val="%1."/>
      <w:lvlJc w:val="left"/>
      <w:pPr>
        <w:ind w:left="720" w:hanging="360"/>
      </w:pPr>
    </w:lvl>
    <w:lvl w:ilvl="1" w:tplc="50250972" w:tentative="1">
      <w:start w:val="1"/>
      <w:numFmt w:val="lowerLetter"/>
      <w:lvlText w:val="%2."/>
      <w:lvlJc w:val="left"/>
      <w:pPr>
        <w:ind w:left="1440" w:hanging="360"/>
      </w:pPr>
    </w:lvl>
    <w:lvl w:ilvl="2" w:tplc="50250972" w:tentative="1">
      <w:start w:val="1"/>
      <w:numFmt w:val="lowerRoman"/>
      <w:lvlText w:val="%3."/>
      <w:lvlJc w:val="right"/>
      <w:pPr>
        <w:ind w:left="2160" w:hanging="180"/>
      </w:pPr>
    </w:lvl>
    <w:lvl w:ilvl="3" w:tplc="50250972" w:tentative="1">
      <w:start w:val="1"/>
      <w:numFmt w:val="decimal"/>
      <w:lvlText w:val="%4."/>
      <w:lvlJc w:val="left"/>
      <w:pPr>
        <w:ind w:left="2880" w:hanging="360"/>
      </w:pPr>
    </w:lvl>
    <w:lvl w:ilvl="4" w:tplc="50250972" w:tentative="1">
      <w:start w:val="1"/>
      <w:numFmt w:val="lowerLetter"/>
      <w:lvlText w:val="%5."/>
      <w:lvlJc w:val="left"/>
      <w:pPr>
        <w:ind w:left="3600" w:hanging="360"/>
      </w:pPr>
    </w:lvl>
    <w:lvl w:ilvl="5" w:tplc="50250972" w:tentative="1">
      <w:start w:val="1"/>
      <w:numFmt w:val="lowerRoman"/>
      <w:lvlText w:val="%6."/>
      <w:lvlJc w:val="right"/>
      <w:pPr>
        <w:ind w:left="4320" w:hanging="180"/>
      </w:pPr>
    </w:lvl>
    <w:lvl w:ilvl="6" w:tplc="50250972" w:tentative="1">
      <w:start w:val="1"/>
      <w:numFmt w:val="decimal"/>
      <w:lvlText w:val="%7."/>
      <w:lvlJc w:val="left"/>
      <w:pPr>
        <w:ind w:left="5040" w:hanging="360"/>
      </w:pPr>
    </w:lvl>
    <w:lvl w:ilvl="7" w:tplc="50250972" w:tentative="1">
      <w:start w:val="1"/>
      <w:numFmt w:val="lowerLetter"/>
      <w:lvlText w:val="%8."/>
      <w:lvlJc w:val="left"/>
      <w:pPr>
        <w:ind w:left="5760" w:hanging="360"/>
      </w:pPr>
    </w:lvl>
    <w:lvl w:ilvl="8" w:tplc="50250972" w:tentative="1">
      <w:start w:val="1"/>
      <w:numFmt w:val="lowerRoman"/>
      <w:lvlText w:val="%9."/>
      <w:lvlJc w:val="right"/>
      <w:pPr>
        <w:ind w:left="6480" w:hanging="180"/>
      </w:pPr>
    </w:lvl>
  </w:abstractNum>
  <w:abstractNum w:abstractNumId="79814299">
    <w:multiLevelType w:val="hybridMultilevel"/>
    <w:lvl w:ilvl="0" w:tplc="64238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814299">
    <w:abstractNumId w:val="79814299"/>
  </w:num>
  <w:num w:numId="79814300">
    <w:abstractNumId w:val="798143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9379472" Type="http://schemas.microsoft.com/office/2011/relationships/commentsExtended" Target="commentsExtended.xml"/><Relationship Id="rId4461662b5504efafd"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