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tristeza virus (European isolates) (Citrus tristeza virus) (CTV000)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Reliable detection and identification tests are available. However, European isolates cannot be discriminated from non-European ones on the basis of their molecular properties. A combination of biological, molecular and, possibly, serological data are needed for a conclusive characterisation of the genetic and pathogenic features of a CTV isolate (EU COM,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Croatia (2009); Cyprus (2014); Greece (2014); Greece/Kriti (2012); Italy (2014); Italy/Sicilia (2016); Portugal (2013); Portugal/Madeira (1998);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Non-European isolates are regulated in Annex IIAI of the plant health Directive 2000/29/EC. Data of the presence of this pest on the EU territory are available in EPPO Global Database (</w:t>
      </w:r>
      <w:hyperlink r:id="rId9505662ad8e87576a"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7400662ad8e875a8b"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 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2651662ad8e875d9a"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numPr>
          <w:ilvl w:val="0"/>
          <w:numId w:val="1"/>
        </w:numPr>
        <w:spacing w:before="0" w:after="0" w:line="240" w:lineRule="auto"/>
        <w:jc w:val="left"/>
        <w:rPr>
          <w:color w:val="0200C9"/>
          <w:sz w:val="24"/>
          <w:szCs w:val="24"/>
        </w:rPr>
      </w:pPr>
      <w:r>
        <w:rPr>
          <w:color w:val="0200C9"/>
          <w:sz w:val="24"/>
          <w:szCs w:val="24"/>
        </w:rPr>
        <w:t xml:space="preserve">Riolo G, Conti F, Tamburino V, D'Anna R, Cavallaro G, Garozzo M &amp; Ricca G (2009) Tristeza of citrus under control in Sicilian nurseries. Informatore Agrario 65 No.40 pp.49-51;</w:t>
      </w:r>
    </w:p>
    <w:p>
      <w:pPr>
        <w:numPr>
          <w:ilvl w:val="0"/>
          <w:numId w:val="1"/>
        </w:numPr>
        <w:spacing w:before="0" w:after="0" w:line="240" w:lineRule="auto"/>
        <w:jc w:val="left"/>
        <w:rPr>
          <w:color w:val="0200C9"/>
          <w:sz w:val="24"/>
          <w:szCs w:val="24"/>
        </w:rPr>
      </w:pPr>
      <w:r>
        <w:rPr>
          <w:color w:val="0200C9"/>
          <w:sz w:val="24"/>
          <w:szCs w:val="24"/>
        </w:rPr>
        <w:t xml:space="preserve">Santos ARA dos, Souza EH de, Fadini M, Souza FVD, Barbosa C de J, Girardi EA &amp; Soares Filho W dos S (2016) Selection of CTV-tolerant citrus hybrids for ornamental use. Fruits (Paris) 71 No.6 pp.389-398;</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Citrus hybrids (CIDHX)</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7786662ad8e8760fd"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Citrus hybrids (CIDHX)</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 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9979662ad8e8763fa"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numPr>
          <w:ilvl w:val="0"/>
          <w:numId w:val="1"/>
        </w:numPr>
        <w:spacing w:before="0" w:after="0" w:line="240" w:lineRule="auto"/>
        <w:jc w:val="left"/>
        <w:rPr>
          <w:color w:val="0200C9"/>
          <w:sz w:val="24"/>
          <w:szCs w:val="24"/>
        </w:rPr>
      </w:pPr>
      <w:r>
        <w:rPr>
          <w:color w:val="0200C9"/>
          <w:sz w:val="24"/>
          <w:szCs w:val="24"/>
        </w:rPr>
        <w:t xml:space="preserve">Riolo G, Conti F, Tamburino V, D'Anna R, Cavallaro G, Garozzo M &amp; Ricca G (2009) Tristeza of citrus under control in Sicilian nurseries. Informatore Agrario 65 No.40 pp.49-51;</w:t>
      </w:r>
    </w:p>
    <w:p>
      <w:pPr>
        <w:numPr>
          <w:ilvl w:val="0"/>
          <w:numId w:val="1"/>
        </w:numPr>
        <w:spacing w:before="0" w:after="0" w:line="240" w:lineRule="auto"/>
        <w:jc w:val="left"/>
        <w:rPr>
          <w:color w:val="0200C9"/>
          <w:sz w:val="24"/>
          <w:szCs w:val="24"/>
        </w:rPr>
      </w:pPr>
      <w:r>
        <w:rPr>
          <w:color w:val="0200C9"/>
          <w:sz w:val="24"/>
          <w:szCs w:val="24"/>
        </w:rPr>
        <w:t xml:space="preserve">Santos ARA dos, Souza EH de, Fadini M, Souza FVD, Barbosa C de J, Girardi EA &amp; Soares Filho W dos S (2016) Selection of CTV-tolerant citrus hybrids for ornamental use. Fruits (Paris) 71 No.6 pp.389-398;</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Fortunella (1FOLG)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8259662ad8e876770"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Fortunella (1FOLG)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 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1953662ad8e876aa6"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numPr>
          <w:ilvl w:val="0"/>
          <w:numId w:val="1"/>
        </w:numPr>
        <w:spacing w:before="0" w:after="0" w:line="240" w:lineRule="auto"/>
        <w:jc w:val="left"/>
        <w:rPr>
          <w:color w:val="0200C9"/>
          <w:sz w:val="24"/>
          <w:szCs w:val="24"/>
        </w:rPr>
      </w:pPr>
      <w:r>
        <w:rPr>
          <w:color w:val="0200C9"/>
          <w:sz w:val="24"/>
          <w:szCs w:val="24"/>
        </w:rPr>
        <w:t xml:space="preserve">Riolo G, Conti F, Tamburino V, D'Anna R, Cavallaro G, Garozzo M &amp; Ricca G (2009) Tristeza of citrus under control in Sicilian nurseries. Informatore Agrario 65 No.40 pp.49-51;</w:t>
      </w:r>
    </w:p>
    <w:p>
      <w:pPr>
        <w:numPr>
          <w:ilvl w:val="0"/>
          <w:numId w:val="1"/>
        </w:numPr>
        <w:spacing w:before="0" w:after="0" w:line="240" w:lineRule="auto"/>
        <w:jc w:val="left"/>
        <w:rPr>
          <w:color w:val="0200C9"/>
          <w:sz w:val="24"/>
          <w:szCs w:val="24"/>
        </w:rPr>
      </w:pPr>
      <w:r>
        <w:rPr>
          <w:color w:val="0200C9"/>
          <w:sz w:val="24"/>
          <w:szCs w:val="24"/>
        </w:rPr>
        <w:t xml:space="preserve">Santos ARA dos, Souza EH de, Fadini M, Souza FVD, Barbosa C de J, Girardi EA &amp; Soares Filho W dos S (2016) Selection of CTV-tolerant citrus hybrids for ornamental use. Fruits (Paris) 71 No.6 pp.389-398;</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Fortunella hybrids (FOLHY)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6921662ad8e876e13"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Fortunella hybrids (FOLHY)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 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8210662ad8e8770f0"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numPr>
          <w:ilvl w:val="0"/>
          <w:numId w:val="1"/>
        </w:numPr>
        <w:spacing w:before="0" w:after="0" w:line="240" w:lineRule="auto"/>
        <w:jc w:val="left"/>
        <w:rPr>
          <w:color w:val="0200C9"/>
          <w:sz w:val="24"/>
          <w:szCs w:val="24"/>
        </w:rPr>
      </w:pPr>
      <w:r>
        <w:rPr>
          <w:color w:val="0200C9"/>
          <w:sz w:val="24"/>
          <w:szCs w:val="24"/>
        </w:rPr>
        <w:t xml:space="preserve">Riolo G, Conti F, Tamburino V, D'Anna R, Cavallaro G, Garozzo M &amp; Ricca G (2009) Tristeza of citrus under control in Sicilian nurseries. Informatore Agrario 65 No.40 pp.49-51;</w:t>
      </w:r>
    </w:p>
    <w:p>
      <w:pPr>
        <w:numPr>
          <w:ilvl w:val="0"/>
          <w:numId w:val="1"/>
        </w:numPr>
        <w:spacing w:before="0" w:after="0" w:line="240" w:lineRule="auto"/>
        <w:jc w:val="left"/>
        <w:rPr>
          <w:color w:val="0200C9"/>
          <w:sz w:val="24"/>
          <w:szCs w:val="24"/>
        </w:rPr>
      </w:pPr>
      <w:r>
        <w:rPr>
          <w:color w:val="0200C9"/>
          <w:sz w:val="24"/>
          <w:szCs w:val="24"/>
        </w:rPr>
        <w:t xml:space="preserve">Santos ARA dos, Souza EH de, Fadini M, Souza FVD, Barbosa C de J, Girardi EA &amp; Soares Filho W dos S (2016) Selection of CTV-tolerant citrus hybrids for ornamental use. Fruits (Paris) 71 No.6 pp.389-398;</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Poncirus (1PMIG)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6999662ad8e87744a"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Poncirus (1PMIG)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 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5420662ad8e87777d"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numPr>
          <w:ilvl w:val="0"/>
          <w:numId w:val="1"/>
        </w:numPr>
        <w:spacing w:before="0" w:after="0" w:line="240" w:lineRule="auto"/>
        <w:jc w:val="left"/>
        <w:rPr>
          <w:color w:val="0200C9"/>
          <w:sz w:val="24"/>
          <w:szCs w:val="24"/>
        </w:rPr>
      </w:pPr>
      <w:r>
        <w:rPr>
          <w:color w:val="0200C9"/>
          <w:sz w:val="24"/>
          <w:szCs w:val="24"/>
        </w:rPr>
        <w:t xml:space="preserve">Riolo G, Conti F, Tamburino V, D'Anna R, Cavallaro G, Garozzo M &amp; Ricca G (2009) Tristeza of citrus under control in Sicilian nurseries. Informatore Agrario 65 No.40 pp.49-51;</w:t>
      </w:r>
    </w:p>
    <w:p>
      <w:pPr>
        <w:numPr>
          <w:ilvl w:val="0"/>
          <w:numId w:val="1"/>
        </w:numPr>
        <w:spacing w:before="0" w:after="0" w:line="240" w:lineRule="auto"/>
        <w:jc w:val="left"/>
        <w:rPr>
          <w:color w:val="0200C9"/>
          <w:sz w:val="24"/>
          <w:szCs w:val="24"/>
        </w:rPr>
      </w:pPr>
      <w:r>
        <w:rPr>
          <w:color w:val="0200C9"/>
          <w:sz w:val="24"/>
          <w:szCs w:val="24"/>
        </w:rPr>
        <w:t xml:space="preserve">Santos ARA dos, Souza EH de, Fadini M, Souza FVD, Barbosa C de J, Girardi EA &amp; Soares Filho W dos S (2016) Selection of CTV-tolerant citrus hybrids for ornamental use. Fruits (Paris) 71 No.6 pp.389-398;</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Poncirus hybrids (PMIHY)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4676662ad8e877ab3"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Poncirus hybrids (PMIHY)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 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6277662ad8e877d7a"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numPr>
          <w:ilvl w:val="0"/>
          <w:numId w:val="1"/>
        </w:numPr>
        <w:spacing w:before="0" w:after="0" w:line="240" w:lineRule="auto"/>
        <w:jc w:val="left"/>
        <w:rPr>
          <w:color w:val="0200C9"/>
          <w:sz w:val="24"/>
          <w:szCs w:val="24"/>
        </w:rPr>
      </w:pPr>
      <w:r>
        <w:rPr>
          <w:color w:val="0200C9"/>
          <w:sz w:val="24"/>
          <w:szCs w:val="24"/>
        </w:rPr>
        <w:t xml:space="preserve">Riolo G, Conti F, Tamburino V, D'Anna R, Cavallaro G, Garozzo M &amp; Ricca G (2009) Tristeza of citrus under control in Sicilian nurseries. Informatore Agrario 65 No.40 pp.49-51;</w:t>
      </w:r>
    </w:p>
    <w:p>
      <w:pPr>
        <w:numPr>
          <w:ilvl w:val="0"/>
          <w:numId w:val="1"/>
        </w:numPr>
        <w:spacing w:before="0" w:after="0" w:line="240" w:lineRule="auto"/>
        <w:jc w:val="left"/>
        <w:rPr>
          <w:color w:val="0200C9"/>
          <w:sz w:val="24"/>
          <w:szCs w:val="24"/>
        </w:rPr>
      </w:pPr>
      <w:r>
        <w:rPr>
          <w:color w:val="0200C9"/>
          <w:sz w:val="24"/>
          <w:szCs w:val="24"/>
        </w:rPr>
        <w:t xml:space="preserve">Santos ARA dos, Souza EH de, Fadini M, Souza FVD, Barbosa C de J, Girardi EA &amp; Soares Filho W dos S (2016) Selection of CTV-tolerant citrus hybrids for ornamental use. Fruits (Paris) 71 No.6 pp.389-398;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909846">
    <w:multiLevelType w:val="hybridMultilevel"/>
    <w:lvl w:ilvl="0" w:tplc="43342098">
      <w:start w:val="1"/>
      <w:numFmt w:val="decimal"/>
      <w:lvlText w:val="%1."/>
      <w:lvlJc w:val="left"/>
      <w:pPr>
        <w:ind w:left="720" w:hanging="360"/>
      </w:pPr>
    </w:lvl>
    <w:lvl w:ilvl="1" w:tplc="43342098" w:tentative="1">
      <w:start w:val="1"/>
      <w:numFmt w:val="lowerLetter"/>
      <w:lvlText w:val="%2."/>
      <w:lvlJc w:val="left"/>
      <w:pPr>
        <w:ind w:left="1440" w:hanging="360"/>
      </w:pPr>
    </w:lvl>
    <w:lvl w:ilvl="2" w:tplc="43342098" w:tentative="1">
      <w:start w:val="1"/>
      <w:numFmt w:val="lowerRoman"/>
      <w:lvlText w:val="%3."/>
      <w:lvlJc w:val="right"/>
      <w:pPr>
        <w:ind w:left="2160" w:hanging="180"/>
      </w:pPr>
    </w:lvl>
    <w:lvl w:ilvl="3" w:tplc="43342098" w:tentative="1">
      <w:start w:val="1"/>
      <w:numFmt w:val="decimal"/>
      <w:lvlText w:val="%4."/>
      <w:lvlJc w:val="left"/>
      <w:pPr>
        <w:ind w:left="2880" w:hanging="360"/>
      </w:pPr>
    </w:lvl>
    <w:lvl w:ilvl="4" w:tplc="43342098" w:tentative="1">
      <w:start w:val="1"/>
      <w:numFmt w:val="lowerLetter"/>
      <w:lvlText w:val="%5."/>
      <w:lvlJc w:val="left"/>
      <w:pPr>
        <w:ind w:left="3600" w:hanging="360"/>
      </w:pPr>
    </w:lvl>
    <w:lvl w:ilvl="5" w:tplc="43342098" w:tentative="1">
      <w:start w:val="1"/>
      <w:numFmt w:val="lowerRoman"/>
      <w:lvlText w:val="%6."/>
      <w:lvlJc w:val="right"/>
      <w:pPr>
        <w:ind w:left="4320" w:hanging="180"/>
      </w:pPr>
    </w:lvl>
    <w:lvl w:ilvl="6" w:tplc="43342098" w:tentative="1">
      <w:start w:val="1"/>
      <w:numFmt w:val="decimal"/>
      <w:lvlText w:val="%7."/>
      <w:lvlJc w:val="left"/>
      <w:pPr>
        <w:ind w:left="5040" w:hanging="360"/>
      </w:pPr>
    </w:lvl>
    <w:lvl w:ilvl="7" w:tplc="43342098" w:tentative="1">
      <w:start w:val="1"/>
      <w:numFmt w:val="lowerLetter"/>
      <w:lvlText w:val="%8."/>
      <w:lvlJc w:val="left"/>
      <w:pPr>
        <w:ind w:left="5760" w:hanging="360"/>
      </w:pPr>
    </w:lvl>
    <w:lvl w:ilvl="8" w:tplc="43342098" w:tentative="1">
      <w:start w:val="1"/>
      <w:numFmt w:val="lowerRoman"/>
      <w:lvlText w:val="%9."/>
      <w:lvlJc w:val="right"/>
      <w:pPr>
        <w:ind w:left="6480" w:hanging="180"/>
      </w:pPr>
    </w:lvl>
  </w:abstractNum>
  <w:abstractNum w:abstractNumId="65909845">
    <w:multiLevelType w:val="hybridMultilevel"/>
    <w:lvl w:ilvl="0" w:tplc="364883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909845">
    <w:abstractNumId w:val="65909845"/>
  </w:num>
  <w:num w:numId="65909846">
    <w:abstractNumId w:val="659098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6417142" Type="http://schemas.microsoft.com/office/2011/relationships/commentsExtended" Target="commentsExtended.xml"/><Relationship Id="rId9505662ad8e87576a" Type="http://schemas.openxmlformats.org/officeDocument/2006/relationships/hyperlink" Target="https://gd.eppo.int/" TargetMode="External"/><Relationship Id="rId7400662ad8e875a8b" Type="http://schemas.openxmlformats.org/officeDocument/2006/relationships/hyperlink" Target="http://www.efsa.europa.eu/en/efsajournal/doc/3923.pdf" TargetMode="External"/><Relationship Id="rId2651662ad8e875d9a" Type="http://schemas.openxmlformats.org/officeDocument/2006/relationships/hyperlink" Target="http://www.efsa.europa.eu/en/efsajournal/doc/3923.pdf" TargetMode="External"/><Relationship Id="rId7786662ad8e8760fd" Type="http://schemas.openxmlformats.org/officeDocument/2006/relationships/hyperlink" Target="http://www.efsa.europa.eu/en/efsajournal/doc/3923.pdf" TargetMode="External"/><Relationship Id="rId9979662ad8e8763fa" Type="http://schemas.openxmlformats.org/officeDocument/2006/relationships/hyperlink" Target="http://www.efsa.europa.eu/en/efsajournal/doc/3923.pdf" TargetMode="External"/><Relationship Id="rId8259662ad8e876770" Type="http://schemas.openxmlformats.org/officeDocument/2006/relationships/hyperlink" Target="http://www.efsa.europa.eu/en/efsajournal/doc/3923.pdf" TargetMode="External"/><Relationship Id="rId1953662ad8e876aa6" Type="http://schemas.openxmlformats.org/officeDocument/2006/relationships/hyperlink" Target="http://www.efsa.europa.eu/en/efsajournal/doc/3923.pdf" TargetMode="External"/><Relationship Id="rId6921662ad8e876e13" Type="http://schemas.openxmlformats.org/officeDocument/2006/relationships/hyperlink" Target="http://www.efsa.europa.eu/en/efsajournal/doc/3923.pdf" TargetMode="External"/><Relationship Id="rId8210662ad8e8770f0" Type="http://schemas.openxmlformats.org/officeDocument/2006/relationships/hyperlink" Target="http://www.efsa.europa.eu/en/efsajournal/doc/3923.pdf" TargetMode="External"/><Relationship Id="rId6999662ad8e87744a" Type="http://schemas.openxmlformats.org/officeDocument/2006/relationships/hyperlink" Target="http://www.efsa.europa.eu/en/efsajournal/doc/3923.pdf" TargetMode="External"/><Relationship Id="rId5420662ad8e87777d" Type="http://schemas.openxmlformats.org/officeDocument/2006/relationships/hyperlink" Target="http://www.efsa.europa.eu/en/efsajournal/doc/3923.pdf" TargetMode="External"/><Relationship Id="rId4676662ad8e877ab3" Type="http://schemas.openxmlformats.org/officeDocument/2006/relationships/hyperlink" Target="http://www.efsa.europa.eu/en/efsajournal/doc/3923.pdf" TargetMode="External"/><Relationship Id="rId6277662ad8e877d7a" Type="http://schemas.openxmlformats.org/officeDocument/2006/relationships/hyperlink" Target="http://www.efsa.europa.eu/en/efsajournal/doc/392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