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29686aabbbf8b06de"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bulb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EU Marketing Directive 2002/57 with a threshold, however no references to other species of Botrytis were found affecting Cannabis sativa.</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hemp seed during a survey of genebank seed in Romania, though report unclear (Plăcintă &amp; Murariu, 2016). The SEWG concluded that there was uncertainties concerning the significance of the seed pathway leading to an impact on the germination and on the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listed as a serious disease of hemp in NZ (McPartland, 1996) where Botrytis cinerea, togther with two other fungi, rot flowering tops and stalks of hemp (Cannabis sativa) (McPartland &amp; Rhode 2005). During 1995-96, diseases of hemp were surveyed in Germany and Botrytis cinerea a causal agent of stem rot, occurred on some individual plants though optimal crop density and minimal N-fertilization contained the disease. Fungicidal seed dressings are recommended for the control of emerging seed-borne or soil-borne fungi (e.g. Fusarium spp. and Botrytis spp.). It was suggested that it is not necessary to apply specific plant protection products against weeds, diseases or pests of hemp, although general seed dressings are recommended (Patschke et al., 1997). Most of 11 vars. tested in Poland were severely infected though spraying reduced infection, and increased fibre yield (Krzysztalowska H. 1973).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Evidence of economic impacts is not as strong as for sunflower and flax. It is not a candidate for the RNQP status on the basis of the evidence available to the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Evidence of economic impacts is not as strong as for sunflower and flax. Not a candidate on the basis of the evidence available to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Krzysztalowska H (1973) Contribution to the study on the occurrence of Botrytis cinerea (Pers./Lev.) on hemp and the possibilities of its control. Pr. Inst. Krajow. Wlok. Natur. 20, 113-124;</w:t>
      </w:r>
    </w:p>
    <w:p>
      <w:pPr>
        <w:numPr>
          <w:ilvl w:val="0"/>
          <w:numId w:val="1"/>
        </w:numPr>
        <w:spacing w:before="0" w:after="0" w:line="240" w:lineRule="auto"/>
        <w:jc w:val="left"/>
        <w:rPr>
          <w:color w:val="0200C9"/>
          <w:sz w:val="24"/>
          <w:szCs w:val="24"/>
        </w:rPr>
      </w:pPr>
      <w:r>
        <w:rPr>
          <w:color w:val="0200C9"/>
          <w:sz w:val="24"/>
          <w:szCs w:val="24"/>
        </w:rPr>
        <w:t xml:space="preserve">McPartland JM (1996) A review of Cannabis diseases. Journal of the International Hemp Association 3, 19-23;</w:t>
      </w:r>
    </w:p>
    <w:p>
      <w:pPr>
        <w:numPr>
          <w:ilvl w:val="0"/>
          <w:numId w:val="1"/>
        </w:numPr>
        <w:spacing w:before="0" w:after="0" w:line="240" w:lineRule="auto"/>
        <w:jc w:val="left"/>
        <w:rPr>
          <w:color w:val="0200C9"/>
          <w:sz w:val="24"/>
          <w:szCs w:val="24"/>
        </w:rPr>
      </w:pPr>
      <w:r>
        <w:rPr>
          <w:color w:val="0200C9"/>
          <w:sz w:val="24"/>
          <w:szCs w:val="24"/>
        </w:rPr>
        <w:t xml:space="preserve">McPartland JM &amp; Rhode B (2005) New hemp diseases and pests in New Zealand. Journal of Industrial Hemp 10,99-108;</w:t>
      </w:r>
    </w:p>
    <w:p>
      <w:pPr>
        <w:numPr>
          <w:ilvl w:val="0"/>
          <w:numId w:val="1"/>
        </w:numPr>
        <w:spacing w:before="0" w:after="0" w:line="240" w:lineRule="auto"/>
        <w:jc w:val="left"/>
        <w:rPr>
          <w:color w:val="0200C9"/>
          <w:sz w:val="24"/>
          <w:szCs w:val="24"/>
        </w:rPr>
      </w:pPr>
      <w:r>
        <w:rPr>
          <w:color w:val="0200C9"/>
          <w:sz w:val="24"/>
          <w:szCs w:val="24"/>
        </w:rPr>
        <w:t xml:space="preserve">Patschke K, Gottwald R &amp; Müller R (1997) First results of phytopathological studies in hemp crops in Brandenburg Land. Nachrichtenblatt des Deutschen Pflanzenschutzdienstes 49, 286-290;</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49,71-82;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Directive 2002/57 with a threshold, however no references to other species than B. cinerea were found affecting Helianthus annus.</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On sunflower it causes a bud blast or flower blight, causing rotting of seed heads. Information on percentage seed infected in Russia was given for two years (Piven et al., 2010) and in Bangdadesh B. cinerea was second in order of prevalence and second in order of predominance out of the nine fungi recorded on seed samples (Rahman &amp; Fakir, 2007). Botrytis cinerea was detected on sunflower and safflower seed imported from the USA and Germany to India (Chakrabarty et al., 2004).</w:t>
      </w:r>
      <w:r>
        <w:rPr>
          <w:color w:val="0200C9"/>
          <w:sz w:val="24"/>
          <w:szCs w:val="24"/>
        </w:rPr>
        <w:br/>
        <w:t xml:space="preserve">A proficiency test (PT) of the ISTA Seed Health Committee was organized in 2007 to verify the ability of laboratories to detect, using ISTA method 07-003, the percentage of Helianthus annuus seeds infected by Botrytis cinerea and it was found many laboratories over- or underestimated the percentage of B. cinerea (Sérandat et al., 2007). Further testing method details were given in the revised method effective from 1/1/2017 (ISTA 2017).</w:t>
      </w:r>
      <w:r>
        <w:rPr>
          <w:color w:val="0200C9"/>
          <w:sz w:val="24"/>
          <w:szCs w:val="24"/>
        </w:rPr>
        <w:br/>
        <w:t xml:space="preserve">Although the pathogen is ubiquitous the view of the SEWG was that the presence on the seed is a pathway that directly impact the germination and crop establishment compared to pest free seed, or seed which has been treated against the pest. Seeds are the main pathway as it is a dead end host itself.</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pest is quoted in general terms in some abstracts as causing severe head infection in Croatia, Russia and UK where early maturity is desired to avoid high losses due to wetter weather. In a UK trial some early maturing cultivars were particularly susceptible with &gt; 50% of the heads destroyed before harvest, others however, had &lt; 5% of completely infected heads. Some fungicides failed to control (Anon 1985). Use of fungicides reduced degree of attack by Botrytis cinerea infection from 7.25% to 2.05 to 2, 9% in Romania (Draghici, R. 2010). Monitoring the mycopopulation of sunflower grain from experimental fields in Croatia found the incidence of parasitic fungi (Botrytis cinerea, and others) in all trial years was sporadic to weak (Ćosić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 (1986) Rothamsted Experimental Station UK Report for 1985, 123;</w:t>
      </w:r>
    </w:p>
    <w:p>
      <w:pPr>
        <w:numPr>
          <w:ilvl w:val="0"/>
          <w:numId w:val="1"/>
        </w:numPr>
        <w:spacing w:before="0" w:after="0" w:line="240" w:lineRule="auto"/>
        <w:jc w:val="left"/>
        <w:rPr>
          <w:color w:val="0200C9"/>
          <w:sz w:val="24"/>
          <w:szCs w:val="24"/>
        </w:rPr>
      </w:pPr>
      <w:r>
        <w:rPr>
          <w:color w:val="0200C9"/>
          <w:sz w:val="24"/>
          <w:szCs w:val="24"/>
        </w:rPr>
        <w:t xml:space="preserve">Ćosić J, Vrandečić K, Poštić J &amp; Dimić D (2011) Mycopopulation of sunflower grain. Glasnik Zaštite Bilja 34, 40-45;</w:t>
      </w:r>
    </w:p>
    <w:p>
      <w:pPr>
        <w:numPr>
          <w:ilvl w:val="0"/>
          <w:numId w:val="1"/>
        </w:numPr>
        <w:spacing w:before="0" w:after="0" w:line="240" w:lineRule="auto"/>
        <w:jc w:val="left"/>
        <w:rPr>
          <w:color w:val="0200C9"/>
          <w:sz w:val="24"/>
          <w:szCs w:val="24"/>
        </w:rPr>
      </w:pPr>
      <w:r>
        <w:rPr>
          <w:color w:val="0200C9"/>
          <w:sz w:val="24"/>
          <w:szCs w:val="24"/>
        </w:rPr>
        <w:t xml:space="preserve">Chakrabarty SK, Anitha K, Rao RDVJP, Mohammed Ismail, Babu BS, Babu Abraham, Varaprasad KS &amp; Khetarpal RK (2004) Pests intercepted in oilseeds germplasm imported during 1986-2003. Indian Journal of Plant Protection 32, 20-124;</w:t>
      </w:r>
    </w:p>
    <w:p>
      <w:pPr>
        <w:numPr>
          <w:ilvl w:val="0"/>
          <w:numId w:val="1"/>
        </w:numPr>
        <w:spacing w:before="0" w:after="0" w:line="240" w:lineRule="auto"/>
        <w:jc w:val="left"/>
        <w:rPr>
          <w:color w:val="0200C9"/>
          <w:sz w:val="24"/>
          <w:szCs w:val="24"/>
        </w:rPr>
      </w:pPr>
      <w:r>
        <w:rPr>
          <w:color w:val="0200C9"/>
          <w:sz w:val="24"/>
          <w:szCs w:val="24"/>
        </w:rPr>
        <w:t xml:space="preserve">Draghici R (2010) Research the influence of treatment plant application on sunflower culture located in sandy soils conditions. Annals of the University of Craiova - Agriculture, Montanology, Cadastre Series 40,361-367;</w:t>
      </w:r>
    </w:p>
    <w:p>
      <w:pPr>
        <w:numPr>
          <w:ilvl w:val="0"/>
          <w:numId w:val="1"/>
        </w:numPr>
        <w:spacing w:before="0" w:after="0" w:line="240" w:lineRule="auto"/>
        <w:jc w:val="left"/>
        <w:rPr>
          <w:color w:val="0200C9"/>
          <w:sz w:val="24"/>
          <w:szCs w:val="24"/>
        </w:rPr>
      </w:pPr>
      <w:r>
        <w:rPr>
          <w:color w:val="0200C9"/>
          <w:sz w:val="24"/>
          <w:szCs w:val="24"/>
        </w:rPr>
        <w:t xml:space="preserve">ISTA (2017) 07‑003: Detection of Botrytis cinerea in Helianthus annuus (sunflower) seed. online at </w:t>
      </w:r>
      <w:hyperlink r:id="rId39066aabbbf8b213b" w:history="1">
        <w:r>
          <w:rPr>
            <w:color w:val="0200C9"/>
            <w:sz w:val="24"/>
            <w:szCs w:val="24"/>
          </w:rPr>
          <w:t xml:space="preserve">http://www.seedtest.org/upload/cms/user/2017-SH-7-003.pdf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Piven VT, Muradasilova NV, Shulyak II &amp; Alifirova TP (2010) Methods of isolation of pathogenic microflora from sunflower seeds. Zashchita i Karantin Rasteniĭ 2, 57-61;</w:t>
      </w:r>
    </w:p>
    <w:p>
      <w:pPr>
        <w:numPr>
          <w:ilvl w:val="0"/>
          <w:numId w:val="1"/>
        </w:numPr>
        <w:spacing w:before="0" w:after="0" w:line="240" w:lineRule="auto"/>
        <w:jc w:val="left"/>
        <w:rPr>
          <w:color w:val="0200C9"/>
          <w:sz w:val="24"/>
          <w:szCs w:val="24"/>
        </w:rPr>
      </w:pPr>
      <w:r>
        <w:rPr>
          <w:color w:val="0200C9"/>
          <w:sz w:val="24"/>
          <w:szCs w:val="24"/>
        </w:rPr>
        <w:t xml:space="preserve">Rahman MM &amp; Fakir GA (2007) Study on seed health status of sunflower in Bangladesh. Bangladesh Journal of Plant Pathology 23, 51-56;</w:t>
      </w:r>
    </w:p>
    <w:p>
      <w:pPr>
        <w:numPr>
          <w:ilvl w:val="0"/>
          <w:numId w:val="1"/>
        </w:numPr>
        <w:spacing w:before="0" w:after="0" w:line="240" w:lineRule="auto"/>
        <w:jc w:val="left"/>
        <w:rPr>
          <w:color w:val="0200C9"/>
          <w:sz w:val="24"/>
          <w:szCs w:val="24"/>
        </w:rPr>
      </w:pPr>
      <w:r>
        <w:rPr>
          <w:color w:val="0200C9"/>
          <w:sz w:val="24"/>
          <w:szCs w:val="24"/>
        </w:rPr>
        <w:t xml:space="preserve">Sérandat I, Grimault V &amp; Léchappé J (2007) Proficiency test Botrytis cinerea on Helianthus annuus (ISTA method 07-003). Seed Testing International 135, 37-41;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or wild plants. Windborne spores develop from these sources and infect damaged or senescent tissues and will quickly infect new tissue under suitable conditions. Seedlings for transplanting may become infected or contaminated with sporangia but crops can be routinely protected with fungicides and/or by manupulating ventilation and heating (Ellis &amp; Waller, 1974; Compendium of Lettuce Diseases, 1997). Crops planted into the field or glasshouse will be quickly be subjected to windborne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numPr>
          <w:ilvl w:val="0"/>
          <w:numId w:val="1"/>
        </w:numPr>
        <w:spacing w:before="0" w:after="0" w:line="240" w:lineRule="auto"/>
        <w:jc w:val="left"/>
        <w:rPr>
          <w:color w:val="0200C9"/>
          <w:sz w:val="24"/>
          <w:szCs w:val="24"/>
        </w:rPr>
      </w:pPr>
      <w:r>
        <w:rPr>
          <w:color w:val="0200C9"/>
          <w:sz w:val="24"/>
          <w:szCs w:val="24"/>
        </w:rPr>
        <w:t xml:space="preserve">Compendium of Lettuce Diseases (1997).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2002/57 with a threshold, however no references to other species of Botrytis were found affecting Linum usitatissimum.</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flax seed during a survey of genebank seed in Romania, though report unclear (Plăcintă &amp; Murariu, 2016). However it was found as one of the most often-isolated species in seeds in Poland (Pristchepa et al., 2006). B. cinerea is also known on linseed in the UK where, (with two other pathogens), it is carried in the seed coat in the form of resting hyphae and is quickly activated on germination. A seed testing method has been published (ISTA 2017). In the absence of control measures it can reduce germination, crop vigour and yield though its relative importance was not separated from the two other pathogens. The most effective method of control is by seed treatment (Mercer &amp; Hardwick, 1991). Although the pathogen is ubiquitous the view of the SEWG was that the presence on the seed is a pathway that directly impact the germination and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spring linseed, the predominant disease was grey mould (Botrytis cinerea) in wet years in UK (Perryman &amp; Fitt, 2000). In flax in UK, Botrytis cinerea was common higher up the stem and on the seed head and caused destruction of the integrity of the cellulose fibres (Brown &amp; Mercer,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AE, Mercer PC (1986) Root-rot pathogens of flax and microbial retting. Annual Report on Research and Technical Work of the Department of Agriculture for Northern Ireland 1985, 133-134;</w:t>
      </w:r>
    </w:p>
    <w:p>
      <w:pPr>
        <w:numPr>
          <w:ilvl w:val="0"/>
          <w:numId w:val="1"/>
        </w:numPr>
        <w:spacing w:before="0" w:after="0" w:line="240" w:lineRule="auto"/>
        <w:jc w:val="left"/>
        <w:rPr>
          <w:color w:val="0200C9"/>
          <w:sz w:val="24"/>
          <w:szCs w:val="24"/>
        </w:rPr>
      </w:pPr>
      <w:r>
        <w:rPr>
          <w:color w:val="0200C9"/>
          <w:sz w:val="24"/>
          <w:szCs w:val="24"/>
        </w:rPr>
        <w:t xml:space="preserve">ISTA (2017) 7‑007: Detection of Alternaria linicola, Botrytis cinerea and Colletotrichum lini in Linum usitatissimum (flax) seed. Available at: </w:t>
      </w:r>
      <w:hyperlink r:id="rId12816aabbbf8b29a7" w:history="1">
        <w:r>
          <w:rPr>
            <w:color w:val="0200C9"/>
            <w:sz w:val="24"/>
            <w:szCs w:val="24"/>
          </w:rPr>
          <w:t xml:space="preserve">http://www.seedtest.org/upload/cms/user/2017-SH-7-007.pdf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Mercer PC &amp; Hardwick NV (1991) Control of seed-borne diseases of linseed. Aspects of Applied Biology 28, 71-77;</w:t>
      </w:r>
    </w:p>
    <w:p>
      <w:pPr>
        <w:numPr>
          <w:ilvl w:val="0"/>
          <w:numId w:val="1"/>
        </w:numPr>
        <w:spacing w:before="0" w:after="0" w:line="240" w:lineRule="auto"/>
        <w:jc w:val="left"/>
        <w:rPr>
          <w:color w:val="0200C9"/>
          <w:sz w:val="24"/>
          <w:szCs w:val="24"/>
        </w:rPr>
      </w:pPr>
      <w:r>
        <w:rPr>
          <w:color w:val="0200C9"/>
          <w:sz w:val="24"/>
          <w:szCs w:val="24"/>
        </w:rPr>
        <w:t xml:space="preserve">Perryman SAM &amp; Fitt BDL (2000) Effects of diseases on the growth and yield of spring linseed (Linum usitatissimum), 1988-1998. Annals of Applied Biology 136, 197-207;</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Pristchepa L, Voitka D, Kasperovich E &amp; Stepanova N (2006) Influence of Trichodermin-BL on the decrease of fiber flax infection by diseases and the improvement of ITS production quality. Journal of Plant Protection Research 46, 97-102;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18502">
    <w:multiLevelType w:val="hybridMultilevel"/>
    <w:lvl w:ilvl="0" w:tplc="71488855">
      <w:start w:val="1"/>
      <w:numFmt w:val="decimal"/>
      <w:lvlText w:val="%1."/>
      <w:lvlJc w:val="left"/>
      <w:pPr>
        <w:ind w:left="720" w:hanging="360"/>
      </w:pPr>
    </w:lvl>
    <w:lvl w:ilvl="1" w:tplc="71488855" w:tentative="1">
      <w:start w:val="1"/>
      <w:numFmt w:val="lowerLetter"/>
      <w:lvlText w:val="%2."/>
      <w:lvlJc w:val="left"/>
      <w:pPr>
        <w:ind w:left="1440" w:hanging="360"/>
      </w:pPr>
    </w:lvl>
    <w:lvl w:ilvl="2" w:tplc="71488855" w:tentative="1">
      <w:start w:val="1"/>
      <w:numFmt w:val="lowerRoman"/>
      <w:lvlText w:val="%3."/>
      <w:lvlJc w:val="right"/>
      <w:pPr>
        <w:ind w:left="2160" w:hanging="180"/>
      </w:pPr>
    </w:lvl>
    <w:lvl w:ilvl="3" w:tplc="71488855" w:tentative="1">
      <w:start w:val="1"/>
      <w:numFmt w:val="decimal"/>
      <w:lvlText w:val="%4."/>
      <w:lvlJc w:val="left"/>
      <w:pPr>
        <w:ind w:left="2880" w:hanging="360"/>
      </w:pPr>
    </w:lvl>
    <w:lvl w:ilvl="4" w:tplc="71488855" w:tentative="1">
      <w:start w:val="1"/>
      <w:numFmt w:val="lowerLetter"/>
      <w:lvlText w:val="%5."/>
      <w:lvlJc w:val="left"/>
      <w:pPr>
        <w:ind w:left="3600" w:hanging="360"/>
      </w:pPr>
    </w:lvl>
    <w:lvl w:ilvl="5" w:tplc="71488855" w:tentative="1">
      <w:start w:val="1"/>
      <w:numFmt w:val="lowerRoman"/>
      <w:lvlText w:val="%6."/>
      <w:lvlJc w:val="right"/>
      <w:pPr>
        <w:ind w:left="4320" w:hanging="180"/>
      </w:pPr>
    </w:lvl>
    <w:lvl w:ilvl="6" w:tplc="71488855" w:tentative="1">
      <w:start w:val="1"/>
      <w:numFmt w:val="decimal"/>
      <w:lvlText w:val="%7."/>
      <w:lvlJc w:val="left"/>
      <w:pPr>
        <w:ind w:left="5040" w:hanging="360"/>
      </w:pPr>
    </w:lvl>
    <w:lvl w:ilvl="7" w:tplc="71488855" w:tentative="1">
      <w:start w:val="1"/>
      <w:numFmt w:val="lowerLetter"/>
      <w:lvlText w:val="%8."/>
      <w:lvlJc w:val="left"/>
      <w:pPr>
        <w:ind w:left="5760" w:hanging="360"/>
      </w:pPr>
    </w:lvl>
    <w:lvl w:ilvl="8" w:tplc="71488855" w:tentative="1">
      <w:start w:val="1"/>
      <w:numFmt w:val="lowerRoman"/>
      <w:lvlText w:val="%9."/>
      <w:lvlJc w:val="right"/>
      <w:pPr>
        <w:ind w:left="6480" w:hanging="180"/>
      </w:pPr>
    </w:lvl>
  </w:abstractNum>
  <w:abstractNum w:abstractNumId="14618501">
    <w:multiLevelType w:val="hybridMultilevel"/>
    <w:lvl w:ilvl="0" w:tplc="69084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18501">
    <w:abstractNumId w:val="14618501"/>
  </w:num>
  <w:num w:numId="14618502">
    <w:abstractNumId w:val="14618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6748356" Type="http://schemas.microsoft.com/office/2011/relationships/commentsExtended" Target="commentsExtended.xml"/><Relationship Id="rId29686aabbbf8b06de" Type="http://schemas.openxmlformats.org/officeDocument/2006/relationships/hyperlink" Target="http://www.fungaltaxonomy.org/index.php/download_file/view/132/1/" TargetMode="External"/><Relationship Id="rId39066aabbbf8b213b" Type="http://schemas.openxmlformats.org/officeDocument/2006/relationships/hyperlink" Target="http://www.seedtest.org/upload/cms/user/2017-SH-7-003.pdf" TargetMode="External"/><Relationship Id="rId12816aabbbf8b29a7" Type="http://schemas.openxmlformats.org/officeDocument/2006/relationships/hyperlink" Target="http://www.seedtest.org/upload/cms/user/2017-SH-7-00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