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Arabis mosaic virus (ARMV00)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 Vine sector, Ornamental sector,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 Vine sector, Ornamental sector,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(1995); Croatia (2012); Czech Republic (2007); Denmark (1993); Finland (2011); France (2000); Germany (2009); Hungary (2009); Ireland (1997); Italy (2007); Latvia (1990); Lithuania (2006); Luxembourg (1996); Netherlands (2015); Poland (2012); Romania (2011); Slovenia (1996); Spain (2011); Sweden (1993); United Kingdom (1996); United Kingdom/England (2002); United Kingdom/Northern Ireland (1984);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6826627c2647eac4"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Some clones of Fragaria vesca (Alpine) showed chlorotic symptoms when infected with ArMV, but most are symptomless except for a loss of vigour. No immunity was detected amongst 13 species of Fragaria (F. chiloensis, F. corymbosa, F. cuneifolia, F. moschata, F. moupinensis, F, nilgerrensis F. nipponica, F. nubicola, F. orientalis, F. platypeltata, F. vesca, F. virginiana and F. viridis) (USDA, 1987). Compared to strawberry plants for fruit production symptoms seem to be less severe but this is based on limited information, so it is concluded they could react to the pest in a similar way. Therefore 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 as distinct from F. x ananassa - cultivated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Specific evidence cannot be found of economic impact on ornamental strawberries. Impacts on strawberries for fruit production have been recorded. Experts concluded that ornamental strawberries should not be considered as a significant pathway to economic damage in fruit production (only one among many vegetatively propagated ornamental hosts).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ornamentals are not a significant pathway to economic damage in fruit production (only one among many vegetatively propagated ornamental hosts).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45086627c2647ef2f"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numPr>
          <w:ilvl w:val="0"/>
          <w:numId w:val="1"/>
        </w:numPr>
        <w:spacing w:before="0" w:after="0" w:line="240" w:lineRule="auto"/>
        <w:jc w:val="left"/>
        <w:rPr>
          <w:color w:val="0200C9"/>
          <w:sz w:val="24"/>
          <w:szCs w:val="24"/>
        </w:rPr>
      </w:pPr>
      <w:r>
        <w:rPr>
          <w:color w:val="0200C9"/>
          <w:sz w:val="24"/>
          <w:szCs w:val="24"/>
        </w:rPr>
        <w:t xml:space="preserve">United States Department of Agriculture (USDA) (1987) Virus Diseases of Small Fruit. Ed. Converse, R.H., Agriculture Handbook, 631. Available at: </w:t>
      </w:r>
      <w:hyperlink r:id="rId48806627c2647efa4" w:history="1">
        <w:r>
          <w:rPr>
            <w:color w:val="0200C9"/>
            <w:sz w:val="24"/>
            <w:szCs w:val="24"/>
          </w:rPr>
          <w:t xml:space="preserve">http://digitalcommons.unl.edu/cgi/viewcontent.cgi?article=1394&amp;context=bioscifacpub</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2%, for all viruses together, is proposed for the certified Fragaria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Fragaria, two visual examinations are mandatory in the Marketing directive. However the SEWG concluded that for this virus, only one inspection would be sufficient.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71276627c2647f258"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Olea europaea (OLVEU)</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N°4: </w:t>
      </w:r>
      <w:r>
        <w:rPr>
          <w:color w:val="149613"/>
          <w:sz w:val="24"/>
          <w:szCs w:val="24"/>
        </w:rPr>
        <w:t xml:space="preserve">Prunus avium (PRNAV)</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N°5: </w:t>
      </w:r>
      <w:r>
        <w:rPr>
          <w:color w:val="149613"/>
          <w:sz w:val="24"/>
          <w:szCs w:val="24"/>
        </w:rPr>
        <w:t xml:space="preserve">Prunus cerasus (PRNCE)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N°6: </w:t>
      </w:r>
      <w:r>
        <w:rPr>
          <w:color w:val="149613"/>
          <w:sz w:val="24"/>
          <w:szCs w:val="24"/>
        </w:rPr>
        <w:t xml:space="preserve">Rheum (1RHEG)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remain in the Vegetable propagating and planting (excluding seeds) EU Marketing Directives.</w:t>
      </w:r>
    </w:p>
    <w:p>
      <w:pPr>
        <w:widowControl w:val="on"/>
        <w:pBdr/>
        <w:spacing w:before="0" w:after="0" w:line="240" w:lineRule="auto"/>
        <w:ind w:left="0" w:right="0"/>
        <w:jc w:val="left"/>
        <w:outlineLvl w:val="2"/>
      </w:pPr>
      <w:r>
        <w:rPr>
          <w:color w:val="000000"/>
          <w:sz w:val="24"/>
          <w:szCs w:val="24"/>
        </w:rPr>
        <w:br/>
        <w:t xml:space="preserve">HOST PLANT N°7: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N°8: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Experts proposed to continue the evaluation regarding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Rose plants are a pathway for AMV and the virus is transmitted by Longidorus and Xiphinema virus vector nematodes in the soil. For certified material, testing of nuclear stock and precautions to prevent infection by AMV are included in the Rosa EPPO PM 4 Standard.</w:t>
      </w:r>
      <w:r>
        <w:rPr>
          <w:color w:val="0200C9"/>
          <w:sz w:val="24"/>
          <w:szCs w:val="24"/>
        </w:rPr>
        <w:br/>
        <w:t xml:space="preserve">The use of fields (or soil media) for planting uninfested by the vectors (or if present found free by testing), weed control and prevention of infested soil from entering the field or facility, would mean that infested plants for planting could then be the main source of infection by AMV.</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AMV or SLRV apparently induced either symptomless infection in rose cultivars and Rosa spp., or leaf symptoms ranging from small chlorotic flecks to severe chlorotic mosaic and, occasionally, plant death. After 7 years in soil containing viruliferous nematodes, AMV and/or SLRV were transmitted to c. 80% of healthy plants. AMV and particularly SLRV were each damaging to field-grown maiden rose bushes. Diseased bushes were less vigorous and half of the AMV-infected bushes conformed to the British Standards Institution specifications for maiden bush roses (Thomas, 1984).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of the SEWG stopped the evaluation, considering that a 'substantially free from' requirement (absence of visual symptoms on the traded material) should be sufficient for this pest/host combination. Later, experts of the coreHEWGplus considered that this pest could cause significant damage on Rosa.</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 combination was not identified by any EU MS in the RNQP Questionnaire as requiring a revision of current thresholds and or a revision of current management measures. This pest/host combination was not identified by the experts of the ornamental SEWG as being a candidate for the RNQP Status with specific tolerance levels and/or specific risk management measures. It was analysed by coherence with the other host plants analysed during the RNQP project, because of the listing of the pest in Annex IIA2 of Council Directive 2000/29/EC. Experts concluded that this pest/host/intended use combination meets all the criteria for RNQP status. However,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11, 3377. Available at: </w:t>
      </w:r>
      <w:hyperlink r:id="rId16986627c2647f9e6"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numPr>
          <w:ilvl w:val="0"/>
          <w:numId w:val="1"/>
        </w:numPr>
        <w:spacing w:before="0" w:after="0" w:line="240" w:lineRule="auto"/>
        <w:jc w:val="left"/>
        <w:rPr>
          <w:color w:val="0200C9"/>
          <w:sz w:val="24"/>
          <w:szCs w:val="24"/>
        </w:rPr>
      </w:pPr>
      <w:r>
        <w:rPr>
          <w:color w:val="0200C9"/>
          <w:sz w:val="24"/>
          <w:szCs w:val="24"/>
        </w:rPr>
        <w:t xml:space="preserve">Thomas BJ (1984) Epidemiology of three viruses infecting the rose in the United Kingdom. Annals of Applied Biology 105, 213-222;</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0.5%, for all viruses together, is proposed for the certified Rubus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14176627c2647fcbb"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Experts decided to continue the evaluation in regards to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Specific evidence cannot be found of economic impact on ornamental rubus. Impacts on rubus for fruit production have been recorded. Experts concluded that ornamental strawberries should not be considered as a significant pathway to economic damage in fruit production (only one among many vegetatively propagated ornamental hosts).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Experts considered that rubus grown as ornamentals are not a significant pathway to economic damage in fruit production (only one among many vegetatively propagated ornamental hosts).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27996627c26480106"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Council Directive 68/193/EEC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 on testing stock nurseries for Pre-basic, Basic and Certified material. Experts also agreed to below the failure rate for nepoviruses from 10% to 5% for the non-certified material (within a 10 % overall limit for virus symptoms).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visual examination carried out at least twice during the last growing season at appropriate times for the expression of symptoms.</w:t>
      </w:r>
      <w:r>
        <w:rPr>
          <w:color w:val="0200C9"/>
          <w:sz w:val="24"/>
          <w:szCs w:val="24"/>
        </w:rPr>
        <w:br/>
        <w:t xml:space="preserve">- Non-certified ('standard'): not more than 5% [reduced from current 10%] of plants showing symptoms of nepoviruses (Arabis mosaic virus, Grapevine fanleaf virus and Cherry leaf roll virus) and not more than 10% of plants showing any virus symptoms and all plants showing symptoms rogued out and destroyed within two weeks.</w:t>
      </w:r>
      <w:r>
        <w:rPr>
          <w:color w:val="0200C9"/>
          <w:sz w:val="24"/>
          <w:szCs w:val="24"/>
        </w:rPr>
        <w:br/>
        <w:t xml:space="preserve">- Pre-basic (“initial”), Basic, Certified: additional measures (in addition to non-certified) could include an isolation distance from other vines, a periodic testing of mother plants, a soil testing for virus vector nematodes, and a rest period from host plants of the virus before planting.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43916627c26480369"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210457">
    <w:multiLevelType w:val="hybridMultilevel"/>
    <w:lvl w:ilvl="0" w:tplc="28706272">
      <w:start w:val="1"/>
      <w:numFmt w:val="decimal"/>
      <w:lvlText w:val="%1."/>
      <w:lvlJc w:val="left"/>
      <w:pPr>
        <w:ind w:left="720" w:hanging="360"/>
      </w:pPr>
    </w:lvl>
    <w:lvl w:ilvl="1" w:tplc="28706272" w:tentative="1">
      <w:start w:val="1"/>
      <w:numFmt w:val="lowerLetter"/>
      <w:lvlText w:val="%2."/>
      <w:lvlJc w:val="left"/>
      <w:pPr>
        <w:ind w:left="1440" w:hanging="360"/>
      </w:pPr>
    </w:lvl>
    <w:lvl w:ilvl="2" w:tplc="28706272" w:tentative="1">
      <w:start w:val="1"/>
      <w:numFmt w:val="lowerRoman"/>
      <w:lvlText w:val="%3."/>
      <w:lvlJc w:val="right"/>
      <w:pPr>
        <w:ind w:left="2160" w:hanging="180"/>
      </w:pPr>
    </w:lvl>
    <w:lvl w:ilvl="3" w:tplc="28706272" w:tentative="1">
      <w:start w:val="1"/>
      <w:numFmt w:val="decimal"/>
      <w:lvlText w:val="%4."/>
      <w:lvlJc w:val="left"/>
      <w:pPr>
        <w:ind w:left="2880" w:hanging="360"/>
      </w:pPr>
    </w:lvl>
    <w:lvl w:ilvl="4" w:tplc="28706272" w:tentative="1">
      <w:start w:val="1"/>
      <w:numFmt w:val="lowerLetter"/>
      <w:lvlText w:val="%5."/>
      <w:lvlJc w:val="left"/>
      <w:pPr>
        <w:ind w:left="3600" w:hanging="360"/>
      </w:pPr>
    </w:lvl>
    <w:lvl w:ilvl="5" w:tplc="28706272" w:tentative="1">
      <w:start w:val="1"/>
      <w:numFmt w:val="lowerRoman"/>
      <w:lvlText w:val="%6."/>
      <w:lvlJc w:val="right"/>
      <w:pPr>
        <w:ind w:left="4320" w:hanging="180"/>
      </w:pPr>
    </w:lvl>
    <w:lvl w:ilvl="6" w:tplc="28706272" w:tentative="1">
      <w:start w:val="1"/>
      <w:numFmt w:val="decimal"/>
      <w:lvlText w:val="%7."/>
      <w:lvlJc w:val="left"/>
      <w:pPr>
        <w:ind w:left="5040" w:hanging="360"/>
      </w:pPr>
    </w:lvl>
    <w:lvl w:ilvl="7" w:tplc="28706272" w:tentative="1">
      <w:start w:val="1"/>
      <w:numFmt w:val="lowerLetter"/>
      <w:lvlText w:val="%8."/>
      <w:lvlJc w:val="left"/>
      <w:pPr>
        <w:ind w:left="5760" w:hanging="360"/>
      </w:pPr>
    </w:lvl>
    <w:lvl w:ilvl="8" w:tplc="28706272" w:tentative="1">
      <w:start w:val="1"/>
      <w:numFmt w:val="lowerRoman"/>
      <w:lvlText w:val="%9."/>
      <w:lvlJc w:val="right"/>
      <w:pPr>
        <w:ind w:left="6480" w:hanging="180"/>
      </w:pPr>
    </w:lvl>
  </w:abstractNum>
  <w:abstractNum w:abstractNumId="93210456">
    <w:multiLevelType w:val="hybridMultilevel"/>
    <w:lvl w:ilvl="0" w:tplc="215078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210456">
    <w:abstractNumId w:val="93210456"/>
  </w:num>
  <w:num w:numId="93210457">
    <w:abstractNumId w:val="932104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3484446" Type="http://schemas.microsoft.com/office/2011/relationships/commentsExtended" Target="commentsExtended.xml"/><Relationship Id="rId46826627c2647eac4" Type="http://schemas.openxmlformats.org/officeDocument/2006/relationships/hyperlink" Target="https://gd.eppo.int/" TargetMode="External"/><Relationship Id="rId45086627c2647ef2f" Type="http://schemas.openxmlformats.org/officeDocument/2006/relationships/hyperlink" Target="http://www.efsa.europa.eu/en/efsajournal/doc/3377.pdf" TargetMode="External"/><Relationship Id="rId48806627c2647efa4" Type="http://schemas.openxmlformats.org/officeDocument/2006/relationships/hyperlink" Target="http://digitalcommons.unl.edu/cgi/viewcontent.cgi?article=1394&amp;context=bioscifacpub" TargetMode="External"/><Relationship Id="rId71276627c2647f258" Type="http://schemas.openxmlformats.org/officeDocument/2006/relationships/hyperlink" Target="http://www.efsa.europa.eu/en/efsajournal/doc/3377.pdf" TargetMode="External"/><Relationship Id="rId16986627c2647f9e6" Type="http://schemas.openxmlformats.org/officeDocument/2006/relationships/hyperlink" Target="http://www.efsa.europa.eu/en/efsajournal/doc/3377.pdf" TargetMode="External"/><Relationship Id="rId14176627c2647fcbb" Type="http://schemas.openxmlformats.org/officeDocument/2006/relationships/hyperlink" Target="http://www.efsa.europa.eu/en/efsajournal/doc/3377.pdf" TargetMode="External"/><Relationship Id="rId27996627c26480106" Type="http://schemas.openxmlformats.org/officeDocument/2006/relationships/hyperlink" Target="http://www.efsa.europa.eu/en/efsajournal/doc/3377.pdf" TargetMode="External"/><Relationship Id="rId43916627c26480369"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