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Arabis mosaic virus ARMV00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 Vine sector, Ornamental sector,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 Vine sector, Ornamental sector,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(2007); Bulgaria (1995); Croatia (2012); Czech Republic (2007); Denmark (1993); Finland (2011); France (2000); Germany (2009); Hungary (2009); Ireland (1997); Italy (2007); Latvia (1990); Lithuania (2006); Luxembourg (1996); Netherlands (2015); Poland (2012); Romania (2011); Slovenia (1996); Spain (2011); Sweden (1993); United Kingdom (1996); United Kingdom/England (2002); United Kingdom/Northern Ireland (1984);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3146aabbbf40e73b"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Fragaria x ananassa is covered by EPPO PM 4/11 Standard. There are various varieties of ornamental strawberry grown, of different species such as F. chiloensis or F. vesca, with different flower colours or foliage. Fragaria chiloensis, F. vesca and F. x ananassa (cultivated strawberry) are all minor hosts according to the EPPO Global Database. Ornamental strawberry may be propagated vegetatively (e.g. cv. Lipstick) or by seed (alpine strawberry F. vesca).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Some clones of Fragaria vesca (Alpine) showed chlorotic symptoms when infected with ArMV, but most are symptomless except for a loss of vigour. No immunity was detected amongst 13 species of Fragaria (F. chiloensis, F. corymbosa, F. cuneifolia, F. moschata, F. moupinensis, F, nilgerrensis F. nipponica, F. nubicola, F. orientalis, F. platypeltata, F. vesca, F. virginiana and F. viridis) (USDA, 1987). Compared to strawberry plants for fruit production symptoms seem to be less severe but this is based on limited information, so it is concluded they could react to the pest in a similar way. Therefore it is concluded plants for planting are a pathway, and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documented references could be found for impacts on ornamental strawberry, as distinct from F. x ananassa - cultivated strawberry.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Specific evidence cannot be found of economic impact on ornamental strawberries. Impacts on strawberries for fruit production have been recorded. Experts concluded that ornamental strawberries should not be considered as a significant pathway to economic damage in fruit production (only one among many vegetatively propagated ornamental hosts).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Data on ornamental fragariae is limited, justification is based on evidence from Fragaria for fruit production.</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ornamentals are not a significant pathway to economic damage in fruit production (only one among many vegetatively propagated ornamental hosts).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57246aabbbf40eba3"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p>
      <w:pPr>
        <w:numPr>
          <w:ilvl w:val="0"/>
          <w:numId w:val="1"/>
        </w:numPr>
        <w:spacing w:before="0" w:after="0" w:line="240" w:lineRule="auto"/>
        <w:jc w:val="left"/>
        <w:rPr>
          <w:color w:val="0200C9"/>
          <w:sz w:val="24"/>
          <w:szCs w:val="24"/>
        </w:rPr>
      </w:pPr>
      <w:r>
        <w:rPr>
          <w:color w:val="0200C9"/>
          <w:sz w:val="24"/>
          <w:szCs w:val="24"/>
        </w:rPr>
        <w:t xml:space="preserve">United States Department of Agriculture (USDA) (1987) Virus Diseases of Small Fruit. Ed. Converse, R.H., Agriculture Handbook, 631. Available at: </w:t>
      </w:r>
      <w:hyperlink r:id="rId24556aabbbf40ec06" w:history="1">
        <w:r>
          <w:rPr>
            <w:color w:val="0200C9"/>
            <w:sz w:val="24"/>
            <w:szCs w:val="24"/>
          </w:rPr>
          <w:t xml:space="preserve">http://digitalcommons.unl.edu/cgi/viewcontent.cgi?article=1394&amp;context=bioscifacpub</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at least on visual examination for all categories of material, and on testing for Pre-basic and Basic material. A failure rate at 2%, for all viruses together, is proposed for the certified Fragaria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a visual examination carried out during the last growing season at an appropriate time for the expression of symptoms.</w:t>
      </w:r>
      <w:r>
        <w:rPr>
          <w:color w:val="0200C9"/>
          <w:sz w:val="24"/>
          <w:szCs w:val="24"/>
        </w:rPr>
        <w:br/>
        <w:t xml:space="preserve">- Non-certified material (‘CAC’): Plants showing symptoms of nepoviruses should be rogued out and destroyed immediately (or if symptoms are not clear, plants may be tested and need not be destroyed if found free).</w:t>
      </w:r>
      <w:r>
        <w:rPr>
          <w:color w:val="0200C9"/>
          <w:sz w:val="24"/>
          <w:szCs w:val="24"/>
        </w:rPr>
        <w:br/>
        <w:t xml:space="preserve">- Pre-basic, Basic, Certified material, additional measures (in addition to non-certified) could include:</w:t>
      </w:r>
      <w:r>
        <w:rPr>
          <w:color w:val="0200C9"/>
          <w:sz w:val="24"/>
          <w:szCs w:val="24"/>
        </w:rPr>
        <w:br/>
        <w:t xml:space="preserve">• Testing of pre-basic and basic;</w:t>
      </w:r>
      <w:r>
        <w:rPr>
          <w:color w:val="0200C9"/>
          <w:sz w:val="24"/>
          <w:szCs w:val="24"/>
        </w:rPr>
        <w:br/>
        <w:t xml:space="preserve">• Isolation;</w:t>
      </w:r>
      <w:r>
        <w:rPr>
          <w:color w:val="0200C9"/>
          <w:sz w:val="24"/>
          <w:szCs w:val="24"/>
        </w:rPr>
        <w:br/>
        <w:t xml:space="preserve">• Soil testing for virus vector nematodes.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For Fragaria, two visual examinations are mandatory in the Marketing directive. However the SEWG concluded that for this virus, only one inspection would be sufficient.</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22116aabbbf40f014"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Olea europaea (OLVEU)</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N°4: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N°5: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N°6: </w:t>
      </w:r>
      <w:r>
        <w:rPr>
          <w:color w:val="149613"/>
          <w:sz w:val="24"/>
          <w:szCs w:val="24"/>
        </w:rPr>
        <w:t xml:space="preserve">Rheum (1RHEG)</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This pest/host combination was not identified by any EU MS in the RNQP Questionnaire as requiring a revision of current thresholds and or a revision of current management measures. This pest/host combination was not identified by the experts of the vegetable SEWG as being a candidate for the RNQP Status with specific tolerance levels and/or specific risk management measures. Experts recommended that this pest/host combination should be covered in the future by the 'substantially free from' requirement that will remain in the Vegetable propagating and planting (excluding seeds) EU Marketing Directives.</w:t>
      </w:r>
    </w:p>
    <w:p>
      <w:pPr>
        <w:widowControl w:val="on"/>
        <w:pBdr/>
        <w:spacing w:before="0" w:after="0" w:line="240" w:lineRule="auto"/>
        <w:ind w:left="0" w:right="0"/>
        <w:jc w:val="left"/>
        <w:outlineLvl w:val="1"/>
      </w:pPr>
      <w:r>
        <w:rPr>
          <w:color w:val="000000"/>
          <w:sz w:val="24"/>
          <w:szCs w:val="24"/>
        </w:rPr>
        <w:br/>
        <w:t xml:space="preserve">HOST PLANT N°7: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r>
        <w:br w:type="page"/>
      </w:r>
    </w:p>
    <w:p>
      <w:pPr>
        <w:widowControl w:val="on"/>
        <w:pBdr/>
        <w:spacing w:before="0" w:after="0" w:line="240" w:lineRule="auto"/>
        <w:ind w:left="0" w:right="0"/>
        <w:jc w:val="left"/>
        <w:outlineLvl w:val="1"/>
      </w:pPr>
      <w:r>
        <w:rPr>
          <w:color w:val="000000"/>
          <w:sz w:val="24"/>
          <w:szCs w:val="24"/>
        </w:rPr>
        <w:br/>
        <w:t xml:space="preserve">HOST PLANT N°8: </w:t>
      </w:r>
      <w:r>
        <w:rPr>
          <w:color w:val="149613"/>
          <w:sz w:val="24"/>
          <w:szCs w:val="24"/>
        </w:rPr>
        <w:t xml:space="preserve">Rosa (1ROSG)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Experts proposed to continue the evaluation regarding the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Rose plants are a pathway for AMV and the virus is transmitted by Longidorus and Xiphinema virus vector nematodes in the soil. For certified material, testing of nuclear stock and precautions to prevent infection by AMV are included in the Rosa EPPO PM 4 Standard.</w:t>
      </w:r>
      <w:r>
        <w:rPr>
          <w:color w:val="0200C9"/>
          <w:sz w:val="24"/>
          <w:szCs w:val="24"/>
        </w:rPr>
        <w:br/>
        <w:t xml:space="preserve">The use of fields (or soil media) for planting uninfested by the vectors (or if present found free by testing), weed control and prevention of infested soil from entering the field or facility, would mean that infested plants for planting could then be the main source of infection by AMV.</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AMV or SLRV apparently induced either symptomless infection in rose cultivars and Rosa spp., or leaf symptoms ranging from small chlorotic flecks to severe chlorotic mosaic and, occasionally, plant death. After 7 years in soil containing viruliferous nematodes, AMV and/or SLRV were transmitted to c. 80% of healthy plants. AMV and particularly SLRV were each damaging to field-grown maiden rose bushes. Diseased bushes were less vigorous and half of the AMV-infected bushes conformed to the British Standards Institution specifications for maiden bush roses (Thomas, 1984).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of the SEWG stopped the evaluation, considering that a 'substantially free from' requirement (absence of visual symptoms on the traded material) should be sufficient for this pest/host combination. Later, experts of the coreHEWGplus considered that this pest could cause significant damage on Rosa.</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 combination was not identified by any EU MS in the RNQP Questionnaire as requiring a revision of current thresholds and or a revision of current management measures. This pest/host combination was not identified by the experts of the ornamental SEWG as being a candidate for the RNQP Status with specific tolerance levels and/or specific risk management measures. It was analysed by coherence with the other host plants analysed during the RNQP project, because of the listing of the pest in Annex IIA2 of Council Directive 2000/29/EC. Experts concluded that this pest/host/intended use combination meets all the criteria for RNQP status. However, the requirement for absence of visual symptoms on the traded material (current general 'Substantially free from' requirement in the EU) was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11, 3377. Available at: </w:t>
      </w:r>
      <w:hyperlink r:id="rId85766aabbbf40f7d8"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p>
      <w:pPr>
        <w:numPr>
          <w:ilvl w:val="0"/>
          <w:numId w:val="1"/>
        </w:numPr>
        <w:spacing w:before="0" w:after="0" w:line="240" w:lineRule="auto"/>
        <w:jc w:val="left"/>
        <w:rPr>
          <w:color w:val="0200C9"/>
          <w:sz w:val="24"/>
          <w:szCs w:val="24"/>
        </w:rPr>
      </w:pPr>
      <w:r>
        <w:rPr>
          <w:color w:val="0200C9"/>
          <w:sz w:val="24"/>
          <w:szCs w:val="24"/>
        </w:rPr>
        <w:t xml:space="preserve">Thomas BJ (1984) Epidemiology of three viruses infecting the rose in the United Kingdom. Annals of Applied Biology 105, 213-222;</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at least on visual examination for all categories of material, and on testing for Pre-basic and Basic material. A failure rate at 0.5%, for all viruses together, is proposed for the certified Rubus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a visual examination carried out during the last growing season at an appropriate time for the expression of symptoms.</w:t>
      </w:r>
      <w:r>
        <w:rPr>
          <w:color w:val="0200C9"/>
          <w:sz w:val="24"/>
          <w:szCs w:val="24"/>
        </w:rPr>
        <w:br/>
        <w:t xml:space="preserve">- Non-certified material (‘CAC’): Plants showing symptoms of nepoviruses should be rogued out and destroyed immediately (or if symptoms are not clear, plants may be tested and need not be destroyed if found free).</w:t>
      </w:r>
      <w:r>
        <w:rPr>
          <w:color w:val="0200C9"/>
          <w:sz w:val="24"/>
          <w:szCs w:val="24"/>
        </w:rPr>
        <w:br/>
        <w:t xml:space="preserve">- Pre-basic, Basic, Certified material, additional measures (in addition to non-certified) could include:</w:t>
      </w:r>
      <w:r>
        <w:rPr>
          <w:color w:val="0200C9"/>
          <w:sz w:val="24"/>
          <w:szCs w:val="24"/>
        </w:rPr>
        <w:br/>
        <w:t xml:space="preserve">• Testing of pre-basic and basic;</w:t>
      </w:r>
      <w:r>
        <w:rPr>
          <w:color w:val="0200C9"/>
          <w:sz w:val="24"/>
          <w:szCs w:val="24"/>
        </w:rPr>
        <w:br/>
        <w:t xml:space="preserve">• Isolation;</w:t>
      </w:r>
      <w:r>
        <w:rPr>
          <w:color w:val="0200C9"/>
          <w:sz w:val="24"/>
          <w:szCs w:val="24"/>
        </w:rPr>
        <w:br/>
        <w:t xml:space="preserve">• Soil testing for virus vector nematodes.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34656aabbbf40fbf8"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Rubus (1RUBG)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Rubus is covered by EPPO PM 4/10 Standard. There are at least 10 species of Rubus grown for ornamental purposes for different flower colours or foliage. Experts decided to continue the evaluation in regards to the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Usually propagated vegetatively and no references could be found to the susceptibility or resistance of ornamental Rubus as compared to the variation in normal Rubus cultivars, so it is proposed to conclude they would react to the pest in a similar 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documented references could be found for impacts on ornamental Rubus species as distinct from fruiting species.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Specific evidence cannot be found of economic impact on ornamental rubus. Impacts on rubus for fruit production have been recorded. Experts concluded that ornamental strawberries should not be considered as a significant pathway to economic damage in fruit production (only one among many vegetatively propagated ornamental hosts).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Experts considered that rubus grown as ornamentals are not a significant pathway to economic damage in fruit production (only one among many vegetatively propagated ornamental hosts).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43906aabbbf41033f"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(2009) Certification scheme for Rubus. Bulletin OEPP/EPPO Bulletin 39, 271–277;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p>
      <w:pPr>
        <w:pageBreakBefore w:val="on"/>
      </w:pPr>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Vitis (1VITG)</w:t>
      </w:r>
      <w:r>
        <w:rPr>
          <w:color w:val="000000"/>
          <w:sz w:val="24"/>
          <w:szCs w:val="24"/>
        </w:rPr>
        <w:t xml:space="preserve"> for the Vine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Council Directive 68/193/EEC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 and on testing stock nurseries for Pre-basic, Basic and Certified material. Experts also agreed to below the failure rate for nepoviruses from 10% to 5% for the non-certified material (within a 10 % overall limit for virus symptoms).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visual examination carried out at least twice during the last growing season at appropriate times for the expression of symptoms.</w:t>
      </w:r>
      <w:r>
        <w:rPr>
          <w:color w:val="0200C9"/>
          <w:sz w:val="24"/>
          <w:szCs w:val="24"/>
        </w:rPr>
        <w:br/>
        <w:t xml:space="preserve">- Non-certified ('standard'): not more than 5% [reduced from current 10%] of plants showing symptoms of nepoviruses (Arabis mosaic virus, Grapevine fanleaf virus and Cherry leaf roll virus) and not more than 10% of plants showing any virus symptoms and all plants showing symptoms rogued out and destroyed within two weeks.</w:t>
      </w:r>
      <w:r>
        <w:rPr>
          <w:color w:val="0200C9"/>
          <w:sz w:val="24"/>
          <w:szCs w:val="24"/>
        </w:rPr>
        <w:br/>
        <w:t xml:space="preserve">- Pre-basic (“initial”), Basic, Certified: additional measures (in addition to non-certified) could include an isolation distance from other vines, a periodic testing of mother plants, a soil testing for virus vector nematodes, and a rest period from host plants of the virus before planting.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14616aabbbf4107d5"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460491">
    <w:multiLevelType w:val="hybridMultilevel"/>
    <w:lvl w:ilvl="0" w:tplc="67594166">
      <w:start w:val="1"/>
      <w:numFmt w:val="decimal"/>
      <w:lvlText w:val="%1."/>
      <w:lvlJc w:val="left"/>
      <w:pPr>
        <w:ind w:left="720" w:hanging="360"/>
      </w:pPr>
    </w:lvl>
    <w:lvl w:ilvl="1" w:tplc="67594166" w:tentative="1">
      <w:start w:val="1"/>
      <w:numFmt w:val="lowerLetter"/>
      <w:lvlText w:val="%2."/>
      <w:lvlJc w:val="left"/>
      <w:pPr>
        <w:ind w:left="1440" w:hanging="360"/>
      </w:pPr>
    </w:lvl>
    <w:lvl w:ilvl="2" w:tplc="67594166" w:tentative="1">
      <w:start w:val="1"/>
      <w:numFmt w:val="lowerRoman"/>
      <w:lvlText w:val="%3."/>
      <w:lvlJc w:val="right"/>
      <w:pPr>
        <w:ind w:left="2160" w:hanging="180"/>
      </w:pPr>
    </w:lvl>
    <w:lvl w:ilvl="3" w:tplc="67594166" w:tentative="1">
      <w:start w:val="1"/>
      <w:numFmt w:val="decimal"/>
      <w:lvlText w:val="%4."/>
      <w:lvlJc w:val="left"/>
      <w:pPr>
        <w:ind w:left="2880" w:hanging="360"/>
      </w:pPr>
    </w:lvl>
    <w:lvl w:ilvl="4" w:tplc="67594166" w:tentative="1">
      <w:start w:val="1"/>
      <w:numFmt w:val="lowerLetter"/>
      <w:lvlText w:val="%5."/>
      <w:lvlJc w:val="left"/>
      <w:pPr>
        <w:ind w:left="3600" w:hanging="360"/>
      </w:pPr>
    </w:lvl>
    <w:lvl w:ilvl="5" w:tplc="67594166" w:tentative="1">
      <w:start w:val="1"/>
      <w:numFmt w:val="lowerRoman"/>
      <w:lvlText w:val="%6."/>
      <w:lvlJc w:val="right"/>
      <w:pPr>
        <w:ind w:left="4320" w:hanging="180"/>
      </w:pPr>
    </w:lvl>
    <w:lvl w:ilvl="6" w:tplc="67594166" w:tentative="1">
      <w:start w:val="1"/>
      <w:numFmt w:val="decimal"/>
      <w:lvlText w:val="%7."/>
      <w:lvlJc w:val="left"/>
      <w:pPr>
        <w:ind w:left="5040" w:hanging="360"/>
      </w:pPr>
    </w:lvl>
    <w:lvl w:ilvl="7" w:tplc="67594166" w:tentative="1">
      <w:start w:val="1"/>
      <w:numFmt w:val="lowerLetter"/>
      <w:lvlText w:val="%8."/>
      <w:lvlJc w:val="left"/>
      <w:pPr>
        <w:ind w:left="5760" w:hanging="360"/>
      </w:pPr>
    </w:lvl>
    <w:lvl w:ilvl="8" w:tplc="67594166" w:tentative="1">
      <w:start w:val="1"/>
      <w:numFmt w:val="lowerRoman"/>
      <w:lvlText w:val="%9."/>
      <w:lvlJc w:val="right"/>
      <w:pPr>
        <w:ind w:left="6480" w:hanging="180"/>
      </w:pPr>
    </w:lvl>
  </w:abstractNum>
  <w:abstractNum w:abstractNumId="85460490">
    <w:multiLevelType w:val="hybridMultilevel"/>
    <w:lvl w:ilvl="0" w:tplc="157661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460490">
    <w:abstractNumId w:val="85460490"/>
  </w:num>
  <w:num w:numId="85460491">
    <w:abstractNumId w:val="854604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86930893" Type="http://schemas.microsoft.com/office/2011/relationships/commentsExtended" Target="commentsExtended.xml"/><Relationship Id="rId33146aabbbf40e73b" Type="http://schemas.openxmlformats.org/officeDocument/2006/relationships/hyperlink" Target="https://gd.eppo.int/" TargetMode="External"/><Relationship Id="rId57246aabbbf40eba3" Type="http://schemas.openxmlformats.org/officeDocument/2006/relationships/hyperlink" Target="http://www.efsa.europa.eu/en/efsajournal/doc/3377.pdf" TargetMode="External"/><Relationship Id="rId24556aabbbf40ec06" Type="http://schemas.openxmlformats.org/officeDocument/2006/relationships/hyperlink" Target="http://digitalcommons.unl.edu/cgi/viewcontent.cgi?article=1394&amp;context=bioscifacpub" TargetMode="External"/><Relationship Id="rId22116aabbbf40f014" Type="http://schemas.openxmlformats.org/officeDocument/2006/relationships/hyperlink" Target="http://www.efsa.europa.eu/en/efsajournal/doc/3377.pdf" TargetMode="External"/><Relationship Id="rId85766aabbbf40f7d8" Type="http://schemas.openxmlformats.org/officeDocument/2006/relationships/hyperlink" Target="http://www.efsa.europa.eu/en/efsajournal/doc/3377.pdf" TargetMode="External"/><Relationship Id="rId34656aabbbf40fbf8" Type="http://schemas.openxmlformats.org/officeDocument/2006/relationships/hyperlink" Target="http://www.efsa.europa.eu/en/efsajournal/doc/3377.pdf" TargetMode="External"/><Relationship Id="rId43906aabbbf41033f" Type="http://schemas.openxmlformats.org/officeDocument/2006/relationships/hyperlink" Target="http://www.efsa.europa.eu/en/efsajournal/doc/3377.pdf" TargetMode="External"/><Relationship Id="rId14616aabbbf4107d5" Type="http://schemas.openxmlformats.org/officeDocument/2006/relationships/hyperlink" Target="http://www.efsa.europa.eu/en/efsajournal/doc/3377.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