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Virus-like diseases (1VIRLD)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Vegetable plant (excluding seeds) sector, FI supported to keep all virus-like diseases listed arguing that 'all symptomatic virus infections should be prohibited'. However this would already be covered by the 'substantially free from' requirement. The term 'virus-like-diseases' is usually applied to perennial, woody crops such as pome and stone fruits that are affected by unknown agents that have symptoms the same or similar to those of viruses, but are presently unidentified. They are often subsequently found to be caused by viruses or phyoplasmas. None have been found in the past on vegetable crops and subsequently identified and it is suggested this term was probably added in the heading title in the directive just for consistency with other crops where the term is valid. Symptoms of this sort could also be included under the pest name 'viruses' for vegetable crops as in this database, so it is proposed to conclude this category is not relevant for any vegetable crops, and should be excluded.</w:t>
      </w:r>
      <w:r>
        <w:rPr>
          <w:color w:val="F30000"/>
          <w:sz w:val="24"/>
          <w:szCs w:val="24"/>
        </w:rPr>
        <w:br/>
        <w:t xml:space="preserve">Remark: GB would not support such a listing.</w:t>
      </w:r>
      <w:r>
        <w:rPr>
          <w:color w:val="F30000"/>
          <w:sz w:val="24"/>
          <w:szCs w:val="24"/>
        </w:rPr>
        <w:br/>
        <w:br/>
        <w:t xml:space="preserve">For the Ornamental sector, DE is the only country arguing to keep all virus-like diseases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all virus-like diseases at a higher level than the species level. No 'Virus-like' diseases have been found in the past on herbaceous ornamental crops and subsequently identified. The term 'virus-like-diseases' has in the past been applied to Pinus with a putative cryptic virus reported from Pinus sylvestris (Veliceasa et al., 2006), from Pyrus for a number of disorders such as Bark split, bark necrosis, rough bark, quince sooty ringspot (probably caused by ASPV), pear stony pit (probably caused by ASPV), rubbery wood and quince yellow blotch (EPPO PM 4/27); from Malus for a number of disorders such as Rubbery wood, flat limb, Horseshoe wound and the fruit disorders: chat fruit, green crinkle, bumpy fruit of Ben Davis, rough skin, star crack, russet ring, russet wart (EPPO PM 4/27); from Phoenix (although one frequent disorder 'Lethal yellowing', is now known to be caused by a phytoplasma called Coconut lethal yellowing phytoplasma and is not known in the EU and was also known as Palm lethal yellowing phytoplasma or Phytoplasma palmae). There are also a few reports of virus-like-diseases in other gymnosperms but their nature has not be determined (Hull, 2014). Experts concluded that it is not justified to list this entry at this level. This will be covered by the substantially free from requirement.</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cepa (ALLCE)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Allium cepa Aggregatum types (Allium ascalonicum) (ALLAS)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Allium fistulosum (ALLFI)</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Allium porrum (ALLPO)</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Allium sativum (ALLSA)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Apium graveolens (APUGV)</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Asparagus officinalis (ASPOF)</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N°8: </w:t>
      </w:r>
      <w:r>
        <w:rPr>
          <w:color w:val="149613"/>
          <w:sz w:val="24"/>
          <w:szCs w:val="24"/>
        </w:rPr>
        <w:t xml:space="preserve">Beta vulgaris (BEAVX)</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N°9: </w:t>
      </w:r>
      <w:r>
        <w:rPr>
          <w:color w:val="149613"/>
          <w:sz w:val="24"/>
          <w:szCs w:val="24"/>
        </w:rPr>
        <w:t xml:space="preserve">Brassica oleracea (BRSOX)</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N°10: </w:t>
      </w:r>
      <w:r>
        <w:rPr>
          <w:color w:val="149613"/>
          <w:sz w:val="24"/>
          <w:szCs w:val="24"/>
        </w:rPr>
        <w:t xml:space="preserve">Brassica pekinensis (BRSPK)</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N°11: </w:t>
      </w:r>
      <w:r>
        <w:rPr>
          <w:color w:val="149613"/>
          <w:sz w:val="24"/>
          <w:szCs w:val="24"/>
        </w:rPr>
        <w:t xml:space="preserve">Capsicum annuum (CPSAN)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N°12: </w:t>
      </w:r>
      <w:r>
        <w:rPr>
          <w:color w:val="149613"/>
          <w:sz w:val="24"/>
          <w:szCs w:val="24"/>
        </w:rPr>
        <w:t xml:space="preserve">Chrysanthemum x grandiflorum (Dendranthema x grandiflorum) (CHYHO)</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level of listing is not justified.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N°13: </w:t>
      </w:r>
      <w:r>
        <w:rPr>
          <w:color w:val="149613"/>
          <w:sz w:val="24"/>
          <w:szCs w:val="24"/>
        </w:rPr>
        <w:t xml:space="preserve">Cichorium endivia (CICEN)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N°14: </w:t>
      </w:r>
      <w:r>
        <w:rPr>
          <w:color w:val="149613"/>
          <w:sz w:val="24"/>
          <w:szCs w:val="24"/>
        </w:rPr>
        <w:t xml:space="preserve">Citrullus lanatus (CITLA)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N°15: </w:t>
      </w:r>
      <w:r>
        <w:rPr>
          <w:color w:val="149613"/>
          <w:sz w:val="24"/>
          <w:szCs w:val="24"/>
        </w:rPr>
        <w:t xml:space="preserve">Cucumis sativus (CUMSA)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N°16: </w:t>
      </w:r>
      <w:r>
        <w:rPr>
          <w:color w:val="149613"/>
          <w:sz w:val="24"/>
          <w:szCs w:val="24"/>
        </w:rPr>
        <w:t xml:space="preserve">Cucurbita maxima (CUUMA)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N°17: </w:t>
      </w:r>
      <w:r>
        <w:rPr>
          <w:color w:val="149613"/>
          <w:sz w:val="24"/>
          <w:szCs w:val="24"/>
        </w:rPr>
        <w:t xml:space="preserve">Cucurbita pepo (CUUPE)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N°18: </w:t>
      </w:r>
      <w:r>
        <w:rPr>
          <w:color w:val="149613"/>
          <w:sz w:val="24"/>
          <w:szCs w:val="24"/>
        </w:rPr>
        <w:t xml:space="preserve">Cynara cardunculus (CYUCA)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N°19: </w:t>
      </w:r>
      <w:r>
        <w:rPr>
          <w:color w:val="149613"/>
          <w:sz w:val="24"/>
          <w:szCs w:val="24"/>
        </w:rPr>
        <w:t xml:space="preserve">Cynara scolymus (CYUSC)</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N°20: </w:t>
      </w:r>
      <w:r>
        <w:rPr>
          <w:color w:val="149613"/>
          <w:sz w:val="24"/>
          <w:szCs w:val="24"/>
        </w:rPr>
        <w:t xml:space="preserve">Lactuca sativa (LACSA)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N°21: </w:t>
      </w:r>
      <w:r>
        <w:rPr>
          <w:color w:val="149613"/>
          <w:sz w:val="24"/>
          <w:szCs w:val="24"/>
        </w:rPr>
        <w:t xml:space="preserve">Malus (1MABG)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level of listing is not justified.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N°22: </w:t>
      </w:r>
      <w:r>
        <w:rPr>
          <w:color w:val="149613"/>
          <w:sz w:val="24"/>
          <w:szCs w:val="24"/>
        </w:rPr>
        <w:t xml:space="preserve">Phoenix (1PHXG)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level of listing is not justified.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N°23: </w:t>
      </w:r>
      <w:r>
        <w:rPr>
          <w:color w:val="149613"/>
          <w:sz w:val="24"/>
          <w:szCs w:val="24"/>
        </w:rPr>
        <w:t xml:space="preserve">Pinus nigra (PIUNI)</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level of listing is not justified.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N°24: </w:t>
      </w:r>
      <w:r>
        <w:rPr>
          <w:color w:val="149613"/>
          <w:sz w:val="24"/>
          <w:szCs w:val="24"/>
        </w:rPr>
        <w:t xml:space="preserve">Pyrus (1PYUG)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level of listing is not justified.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N°25: </w:t>
      </w:r>
      <w:r>
        <w:rPr>
          <w:color w:val="149613"/>
          <w:sz w:val="24"/>
          <w:szCs w:val="24"/>
        </w:rPr>
        <w:t xml:space="preserve">Rheum (1RHEG)</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N°26: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N°27: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341211">
    <w:multiLevelType w:val="hybridMultilevel"/>
    <w:lvl w:ilvl="0" w:tplc="55971545">
      <w:start w:val="1"/>
      <w:numFmt w:val="decimal"/>
      <w:lvlText w:val="%1."/>
      <w:lvlJc w:val="left"/>
      <w:pPr>
        <w:ind w:left="720" w:hanging="360"/>
      </w:pPr>
    </w:lvl>
    <w:lvl w:ilvl="1" w:tplc="55971545" w:tentative="1">
      <w:start w:val="1"/>
      <w:numFmt w:val="lowerLetter"/>
      <w:lvlText w:val="%2."/>
      <w:lvlJc w:val="left"/>
      <w:pPr>
        <w:ind w:left="1440" w:hanging="360"/>
      </w:pPr>
    </w:lvl>
    <w:lvl w:ilvl="2" w:tplc="55971545" w:tentative="1">
      <w:start w:val="1"/>
      <w:numFmt w:val="lowerRoman"/>
      <w:lvlText w:val="%3."/>
      <w:lvlJc w:val="right"/>
      <w:pPr>
        <w:ind w:left="2160" w:hanging="180"/>
      </w:pPr>
    </w:lvl>
    <w:lvl w:ilvl="3" w:tplc="55971545" w:tentative="1">
      <w:start w:val="1"/>
      <w:numFmt w:val="decimal"/>
      <w:lvlText w:val="%4."/>
      <w:lvlJc w:val="left"/>
      <w:pPr>
        <w:ind w:left="2880" w:hanging="360"/>
      </w:pPr>
    </w:lvl>
    <w:lvl w:ilvl="4" w:tplc="55971545" w:tentative="1">
      <w:start w:val="1"/>
      <w:numFmt w:val="lowerLetter"/>
      <w:lvlText w:val="%5."/>
      <w:lvlJc w:val="left"/>
      <w:pPr>
        <w:ind w:left="3600" w:hanging="360"/>
      </w:pPr>
    </w:lvl>
    <w:lvl w:ilvl="5" w:tplc="55971545" w:tentative="1">
      <w:start w:val="1"/>
      <w:numFmt w:val="lowerRoman"/>
      <w:lvlText w:val="%6."/>
      <w:lvlJc w:val="right"/>
      <w:pPr>
        <w:ind w:left="4320" w:hanging="180"/>
      </w:pPr>
    </w:lvl>
    <w:lvl w:ilvl="6" w:tplc="55971545" w:tentative="1">
      <w:start w:val="1"/>
      <w:numFmt w:val="decimal"/>
      <w:lvlText w:val="%7."/>
      <w:lvlJc w:val="left"/>
      <w:pPr>
        <w:ind w:left="5040" w:hanging="360"/>
      </w:pPr>
    </w:lvl>
    <w:lvl w:ilvl="7" w:tplc="55971545" w:tentative="1">
      <w:start w:val="1"/>
      <w:numFmt w:val="lowerLetter"/>
      <w:lvlText w:val="%8."/>
      <w:lvlJc w:val="left"/>
      <w:pPr>
        <w:ind w:left="5760" w:hanging="360"/>
      </w:pPr>
    </w:lvl>
    <w:lvl w:ilvl="8" w:tplc="55971545" w:tentative="1">
      <w:start w:val="1"/>
      <w:numFmt w:val="lowerRoman"/>
      <w:lvlText w:val="%9."/>
      <w:lvlJc w:val="right"/>
      <w:pPr>
        <w:ind w:left="6480" w:hanging="180"/>
      </w:pPr>
    </w:lvl>
  </w:abstractNum>
  <w:abstractNum w:abstractNumId="66341210">
    <w:multiLevelType w:val="hybridMultilevel"/>
    <w:lvl w:ilvl="0" w:tplc="938384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341210">
    <w:abstractNumId w:val="66341210"/>
  </w:num>
  <w:num w:numId="66341211">
    <w:abstractNumId w:val="663412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4976117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