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numPr>
          <w:ilvl w:val="0"/>
          <w:numId w:val="1"/>
        </w:numPr>
        <w:spacing w:before="0" w:after="0" w:line="240" w:lineRule="auto"/>
        <w:jc w:val="left"/>
        <w:rPr>
          <w:color w:val="0200C9"/>
          <w:sz w:val="24"/>
          <w:szCs w:val="24"/>
        </w:rPr>
      </w:pPr>
      <w:r>
        <w:rPr>
          <w:color w:val="0200C9"/>
          <w:sz w:val="24"/>
          <w:szCs w:val="24"/>
        </w:rPr>
        <w:t xml:space="preserve">No: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niederhauseri, P. cryptogea)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hybrid such as an example of serious outbreak of a wilt disease affecting potted plants in a nursery in France, where approximately 10-20% of the plants were affected in a glasshouse. They showed wilting with a dark basal stem rot and the causal pathogen was identified as Phytophthora niederhauseri (Saurat et al., 2015). In Germany, two strains of P. cryptogea f.sp. begoniae differed in virulence on two varieties (Denys &amp; Schickedanz,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Denys C &amp; Schickedanz F (1990) Investigations on the pathogenicity and control of Phytophthora cryptogea f.sp. begoniae on Elatior begonia hybrids. Gesunde Pflanzen 42, 103-107;</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Saurat C, Schenck N, Fourrier C, Cerf I, Casset C &amp; Ioos R (2015) First report of Phytophthora niederhauseri causing wilt of Begonia elatior in France. Plant Disease 99, 1277;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pathogens (most important are Phytophthora nicotiana var. parasitica and Phytophthora citrophthora) can survive saprophytically in the soil, as mycelium or chlamydospores on plant remains and decomposing matter, from several months to 1–2 years. Sexual reproductive organs are formed which, without being directly important for infection, favour survival and persistence in the soil (EPPO, 2004). Plants for planting for ornamental use are a pathway, however for outside plantings because of the wide host range, likely distribution of suitable Citrus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the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are included in the EPPO PM 4 Standard for Citrus which covers all Citrus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dehydration and necrosis of the cortical zone of the stem or root collar, leading very quickly to the appearance of symptoms of gummosis or collar rot (EPPO, 2004). The same pathogen species can affect fruits and plants for fruit production, so infected ornamental plants growing in a nursery could have an indirect economic effect by infecting neighbouring plants intended for sale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2/27 (1) Good plant protection practice Citrus. Bulletin OEPP/EPPO Bulletin 34, 43-56;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nicotianae, P. cryptogea, P. nicotianae)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Some species also cause a leaf blight.</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species such as in Puerto Rico where more than 2000 poinsettia in an ornamental nursery exhibited severe wilt and dieback symptoms including stunted plants, thin stems, chlorotic leaves, brown roots, leaf wilting, stem canker and purple-black lesions caused by P. nicotianae (Estevez et al., 2006). In Hawaii a blight caused by P. nicotianae var. parasitica and P. drechsleri produced leaf, vein and bract lesions which expanded rapidly into rots on cyathia forming the inflorescence of plants in the genus Euphorbia (Yoshimura et al.,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Estevez de Jensen RC, Abad G, Roberts P &amp; Rosa E (2006) First report of wilt and stem canker of poinsettia (Euphorbia pulcherrima) caused by Phytophthora nicotianae in Puerto Rico. Plant Disease 90, 1459;</w:t>
      </w:r>
    </w:p>
    <w:p>
      <w:pPr>
        <w:numPr>
          <w:ilvl w:val="0"/>
          <w:numId w:val="1"/>
        </w:numPr>
        <w:spacing w:before="0" w:after="0" w:line="240" w:lineRule="auto"/>
        <w:jc w:val="left"/>
        <w:rPr>
          <w:color w:val="0200C9"/>
          <w:sz w:val="24"/>
          <w:szCs w:val="24"/>
        </w:rPr>
      </w:pPr>
      <w:r>
        <w:rPr>
          <w:color w:val="0200C9"/>
          <w:sz w:val="24"/>
          <w:szCs w:val="24"/>
        </w:rPr>
        <w:t xml:space="preserve">Yoshimura MA, Uchida JY &amp; Aragaki M (1985) Etiology and control of poinsettia blight caused by Phytophthora nicotianae var. parasitica and P. drechsleri. Plant Disease 69, 511-513;</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rot and collar rot of apple are caused by several Phytophthora species, of which P. cactorum and P. syringae are the most important. The pathogens may also infect pear, but rarely cause problems in this crop. All Phytophthora species that attack pear are soil-borne and once introduced they persist as mycelia or oospores in organic debris or soil. Other inoculum sources are fallen fruits and leaves.</w:t>
      </w:r>
      <w:r>
        <w:rPr>
          <w:color w:val="0200C9"/>
          <w:sz w:val="24"/>
          <w:szCs w:val="24"/>
        </w:rPr>
        <w:br/>
        <w:t xml:space="preserve">Plants for planting for ornamental use are a pathway, however for outside plantings because of the wide host range, likely distribution of suitable host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(under Phytophthora spp.) are included in the EPPO PM 4 Standard for Pyrus which covers all Pyrus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pathogens may also infect pear, but rarely cause problems in this crop (EPPO,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(1999) PP 2/18(1) Good plant protection practice. Pome fruits. Bulletin OEPP/EPPO Bulletin 29, 379–406;</w:t>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38482">
    <w:multiLevelType w:val="hybridMultilevel"/>
    <w:lvl w:ilvl="0" w:tplc="32940671">
      <w:start w:val="1"/>
      <w:numFmt w:val="decimal"/>
      <w:lvlText w:val="%1."/>
      <w:lvlJc w:val="left"/>
      <w:pPr>
        <w:ind w:left="720" w:hanging="360"/>
      </w:pPr>
    </w:lvl>
    <w:lvl w:ilvl="1" w:tplc="32940671" w:tentative="1">
      <w:start w:val="1"/>
      <w:numFmt w:val="lowerLetter"/>
      <w:lvlText w:val="%2."/>
      <w:lvlJc w:val="left"/>
      <w:pPr>
        <w:ind w:left="1440" w:hanging="360"/>
      </w:pPr>
    </w:lvl>
    <w:lvl w:ilvl="2" w:tplc="32940671" w:tentative="1">
      <w:start w:val="1"/>
      <w:numFmt w:val="lowerRoman"/>
      <w:lvlText w:val="%3."/>
      <w:lvlJc w:val="right"/>
      <w:pPr>
        <w:ind w:left="2160" w:hanging="180"/>
      </w:pPr>
    </w:lvl>
    <w:lvl w:ilvl="3" w:tplc="32940671" w:tentative="1">
      <w:start w:val="1"/>
      <w:numFmt w:val="decimal"/>
      <w:lvlText w:val="%4."/>
      <w:lvlJc w:val="left"/>
      <w:pPr>
        <w:ind w:left="2880" w:hanging="360"/>
      </w:pPr>
    </w:lvl>
    <w:lvl w:ilvl="4" w:tplc="32940671" w:tentative="1">
      <w:start w:val="1"/>
      <w:numFmt w:val="lowerLetter"/>
      <w:lvlText w:val="%5."/>
      <w:lvlJc w:val="left"/>
      <w:pPr>
        <w:ind w:left="3600" w:hanging="360"/>
      </w:pPr>
    </w:lvl>
    <w:lvl w:ilvl="5" w:tplc="32940671" w:tentative="1">
      <w:start w:val="1"/>
      <w:numFmt w:val="lowerRoman"/>
      <w:lvlText w:val="%6."/>
      <w:lvlJc w:val="right"/>
      <w:pPr>
        <w:ind w:left="4320" w:hanging="180"/>
      </w:pPr>
    </w:lvl>
    <w:lvl w:ilvl="6" w:tplc="32940671" w:tentative="1">
      <w:start w:val="1"/>
      <w:numFmt w:val="decimal"/>
      <w:lvlText w:val="%7."/>
      <w:lvlJc w:val="left"/>
      <w:pPr>
        <w:ind w:left="5040" w:hanging="360"/>
      </w:pPr>
    </w:lvl>
    <w:lvl w:ilvl="7" w:tplc="32940671" w:tentative="1">
      <w:start w:val="1"/>
      <w:numFmt w:val="lowerLetter"/>
      <w:lvlText w:val="%8."/>
      <w:lvlJc w:val="left"/>
      <w:pPr>
        <w:ind w:left="5760" w:hanging="360"/>
      </w:pPr>
    </w:lvl>
    <w:lvl w:ilvl="8" w:tplc="32940671" w:tentative="1">
      <w:start w:val="1"/>
      <w:numFmt w:val="lowerRoman"/>
      <w:lvlText w:val="%9."/>
      <w:lvlJc w:val="right"/>
      <w:pPr>
        <w:ind w:left="6480" w:hanging="180"/>
      </w:pPr>
    </w:lvl>
  </w:abstractNum>
  <w:abstractNum w:abstractNumId="64338481">
    <w:multiLevelType w:val="hybridMultilevel"/>
    <w:lvl w:ilvl="0" w:tplc="29814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38481">
    <w:abstractNumId w:val="64338481"/>
  </w:num>
  <w:num w:numId="64338482">
    <w:abstractNumId w:val="643384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7964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