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associated with Vaccinium (Blueberry witches broom phytoplasma) (1PHYPG*)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Blueberry witches' broom phytoplasma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color w:val="000000"/>
          <w:sz w:val="24"/>
          <w:szCs w:val="24"/>
          <w:u w:val="single"/>
        </w:rPr>
        <w:br/>
        <w:br/>
        <w:t xml:space="preserve">Remarks:</w:t>
      </w:r>
      <w:r>
        <w:rPr>
          <w:color w:val="000000"/>
          <w:sz w:val="24"/>
          <w:szCs w:val="24"/>
        </w:rPr>
        <w:t xml:space="preserve">
</w:t>
      </w:r>
      <w:r>
        <w:rPr>
          <w:color w:val="0200C9"/>
          <w:sz w:val="24"/>
          <w:szCs w:val="24"/>
        </w:rPr>
        <w:t xml:space="preserve">Instead of listing Blueberry witches' broom phytoplasma, the Fruit SEWG proposed to discard all names of phytoplasma listed in the EU Marketing Directive and to add all phytoplasma species reported from naturally infected Vaccinium plants. This would consist in the listing of ‘Candidatus Phytoplasma pruni’, ‘Candidatus Phytoplasma asteris’ [Blueberry stunt phytoplasma], ‘Candidatus Phytoplasma solani’ [Blueberry Reddening disease], and the Cranberry false blossom phytoplasma.</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Vaccinium (1VACG)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365753">
    <w:multiLevelType w:val="hybridMultilevel"/>
    <w:lvl w:ilvl="0" w:tplc="59449333">
      <w:start w:val="1"/>
      <w:numFmt w:val="decimal"/>
      <w:lvlText w:val="%1."/>
      <w:lvlJc w:val="left"/>
      <w:pPr>
        <w:ind w:left="720" w:hanging="360"/>
      </w:pPr>
    </w:lvl>
    <w:lvl w:ilvl="1" w:tplc="59449333" w:tentative="1">
      <w:start w:val="1"/>
      <w:numFmt w:val="lowerLetter"/>
      <w:lvlText w:val="%2."/>
      <w:lvlJc w:val="left"/>
      <w:pPr>
        <w:ind w:left="1440" w:hanging="360"/>
      </w:pPr>
    </w:lvl>
    <w:lvl w:ilvl="2" w:tplc="59449333" w:tentative="1">
      <w:start w:val="1"/>
      <w:numFmt w:val="lowerRoman"/>
      <w:lvlText w:val="%3."/>
      <w:lvlJc w:val="right"/>
      <w:pPr>
        <w:ind w:left="2160" w:hanging="180"/>
      </w:pPr>
    </w:lvl>
    <w:lvl w:ilvl="3" w:tplc="59449333" w:tentative="1">
      <w:start w:val="1"/>
      <w:numFmt w:val="decimal"/>
      <w:lvlText w:val="%4."/>
      <w:lvlJc w:val="left"/>
      <w:pPr>
        <w:ind w:left="2880" w:hanging="360"/>
      </w:pPr>
    </w:lvl>
    <w:lvl w:ilvl="4" w:tplc="59449333" w:tentative="1">
      <w:start w:val="1"/>
      <w:numFmt w:val="lowerLetter"/>
      <w:lvlText w:val="%5."/>
      <w:lvlJc w:val="left"/>
      <w:pPr>
        <w:ind w:left="3600" w:hanging="360"/>
      </w:pPr>
    </w:lvl>
    <w:lvl w:ilvl="5" w:tplc="59449333" w:tentative="1">
      <w:start w:val="1"/>
      <w:numFmt w:val="lowerRoman"/>
      <w:lvlText w:val="%6."/>
      <w:lvlJc w:val="right"/>
      <w:pPr>
        <w:ind w:left="4320" w:hanging="180"/>
      </w:pPr>
    </w:lvl>
    <w:lvl w:ilvl="6" w:tplc="59449333" w:tentative="1">
      <w:start w:val="1"/>
      <w:numFmt w:val="decimal"/>
      <w:lvlText w:val="%7."/>
      <w:lvlJc w:val="left"/>
      <w:pPr>
        <w:ind w:left="5040" w:hanging="360"/>
      </w:pPr>
    </w:lvl>
    <w:lvl w:ilvl="7" w:tplc="59449333" w:tentative="1">
      <w:start w:val="1"/>
      <w:numFmt w:val="lowerLetter"/>
      <w:lvlText w:val="%8."/>
      <w:lvlJc w:val="left"/>
      <w:pPr>
        <w:ind w:left="5760" w:hanging="360"/>
      </w:pPr>
    </w:lvl>
    <w:lvl w:ilvl="8" w:tplc="59449333" w:tentative="1">
      <w:start w:val="1"/>
      <w:numFmt w:val="lowerRoman"/>
      <w:lvlText w:val="%9."/>
      <w:lvlJc w:val="right"/>
      <w:pPr>
        <w:ind w:left="6480" w:hanging="180"/>
      </w:pPr>
    </w:lvl>
  </w:abstractNum>
  <w:abstractNum w:abstractNumId="61365752">
    <w:multiLevelType w:val="hybridMultilevel"/>
    <w:lvl w:ilvl="0" w:tplc="526666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365752">
    <w:abstractNumId w:val="61365752"/>
  </w:num>
  <w:num w:numId="61365753">
    <w:abstractNumId w:val="613657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450834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