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Agromyzidae (1AGROF)</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Insecta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F30000"/>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F30000"/>
          <w:sz w:val="24"/>
          <w:szCs w:val="24"/>
        </w:rPr>
        <w:t xml:space="preserve">No</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 Ornamental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F30000"/>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Not candidate: Ornamental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F30000"/>
          <w:sz w:val="24"/>
          <w:szCs w:val="24"/>
        </w:rPr>
        <w:t xml:space="preserve">When replying to the RNQP Questionnaire for the Ornamental Sector, only two EU Member States (DE and FI) considered this entry as important. DE supported a listing at a higher level than the species level, since several species are considered to be important, to cause similar damage and have an unacceptable economic impact. FI suggested the listing of Liriomyza huidobrensis, Liriomyza trifolii, Chromatomyia horticola and Chromatomyia syngenesiae on Dendranthema x grandiflorum and Gerbera. Experts proposed a specific evaluation on L. huidobrensis and L. trifolii (see corresponding summary sheets).</w:t>
      </w:r>
      <w:r>
        <w:br w:type="page"/>
      </w:r>
    </w:p>
    <w:p>
      <w:pPr>
        <w:widowControl w:val="on"/>
        <w:pBdr/>
        <w:spacing w:before="0" w:after="0" w:line="240" w:lineRule="auto"/>
        <w:ind w:left="0" w:right="0"/>
        <w:jc w:val="left"/>
        <w:outlineLvl w:val="2"/>
      </w:pPr>
      <w:r>
        <w:rPr>
          <w:color w:val="000000"/>
          <w:sz w:val="24"/>
          <w:szCs w:val="24"/>
        </w:rPr>
        <w:br/>
        <w:t xml:space="preserve">HOST PLANT N°1: </w:t>
      </w:r>
      <w:r>
        <w:rPr>
          <w:color w:val="149613"/>
          <w:sz w:val="24"/>
          <w:szCs w:val="24"/>
        </w:rPr>
        <w:t xml:space="preserve">Chrysanthemum x grandiflorum (Dendranthema x grandiflorum) (CHYHO)</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Commission Directive 93/49/EEC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br/>
        <w:t xml:space="preserve">CONCLUSION ON THE STATUS:</w:t>
      </w:r>
      <w:r>
        <w:rPr>
          <w:color w:val="000000"/>
          <w:sz w:val="24"/>
          <w:szCs w:val="24"/>
        </w:rPr>
        <w:t xml:space="preserve">
</w:t>
      </w:r>
      <w:r>
        <w:rPr>
          <w:color w:val="0200C9"/>
          <w:sz w:val="24"/>
          <w:szCs w:val="24"/>
        </w:rPr>
        <w:t xml:space="preserve">Disqualified: no justification for a listing at a higher level than the species level.</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Bene G (1990) Use of Diglyphus isaea (Wlk.) (Hym. Eulophidae) for the control of Liriomyza trifolii (Burgess), Chromatomyia horticola (Goureau) and Chromatomyia syngenesiae Hardy (Dipt. Agromyzidae) in greenhouses of chrysanthemum and gerbera. Redia 73, 63-78;</w:t>
      </w:r>
    </w:p>
    <w:p>
      <w:pPr>
        <w:numPr>
          <w:ilvl w:val="0"/>
          <w:numId w:val="1"/>
        </w:numPr>
        <w:spacing w:before="0" w:after="0" w:line="240" w:lineRule="auto"/>
        <w:jc w:val="left"/>
        <w:rPr>
          <w:color w:val="0200C9"/>
          <w:sz w:val="24"/>
          <w:szCs w:val="24"/>
        </w:rPr>
      </w:pPr>
      <w:r>
        <w:rPr>
          <w:color w:val="0200C9"/>
          <w:sz w:val="24"/>
          <w:szCs w:val="24"/>
        </w:rPr>
        <w:t xml:space="preserve">EPPO (1998) PP 2/13 (1) Good plant protection practice. Ornamental Plants under Protected Cultivation. OEPP/EPPO Bulletin 28, 363–386;</w:t>
      </w:r>
    </w:p>
    <w:p>
      <w:pPr>
        <w:numPr>
          <w:ilvl w:val="0"/>
          <w:numId w:val="1"/>
        </w:numPr>
        <w:spacing w:before="0" w:after="0" w:line="240" w:lineRule="auto"/>
        <w:jc w:val="left"/>
        <w:rPr>
          <w:color w:val="0200C9"/>
          <w:sz w:val="24"/>
          <w:szCs w:val="24"/>
        </w:rPr>
      </w:pPr>
      <w:r>
        <w:rPr>
          <w:color w:val="0200C9"/>
          <w:sz w:val="24"/>
          <w:szCs w:val="24"/>
        </w:rPr>
        <w:t xml:space="preserve">Martinez M (2001) Agromyzid mining flies injurious to ornamental and market- garden crops under glass. PHM Revue Horticole 430, 9-13;</w:t>
      </w:r>
    </w:p>
    <w:p>
      <w:pPr>
        <w:pageBreakBefore w:val="on"/>
      </w:pPr>
      <w:r/>
    </w:p>
    <w:p>
      <w:pPr>
        <w:widowControl w:val="on"/>
        <w:pBdr/>
        <w:spacing w:before="0" w:after="0" w:line="240" w:lineRule="auto"/>
        <w:ind w:left="0" w:right="0"/>
        <w:jc w:val="left"/>
        <w:outlineLvl w:val="2"/>
      </w:pPr>
      <w:r>
        <w:rPr>
          <w:color w:val="000000"/>
          <w:sz w:val="24"/>
          <w:szCs w:val="24"/>
        </w:rPr>
        <w:t xml:space="preserve">HOST PLANT N°2: </w:t>
      </w:r>
      <w:r>
        <w:rPr>
          <w:color w:val="149613"/>
          <w:sz w:val="24"/>
          <w:szCs w:val="24"/>
        </w:rPr>
        <w:t xml:space="preserve">Dianthus caryophyllus (DINCA)</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Commission Directive 93/49/EEC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br/>
        <w:t xml:space="preserve">CONCLUSION ON THE STATUS:</w:t>
      </w:r>
      <w:r>
        <w:rPr>
          <w:color w:val="000000"/>
          <w:sz w:val="24"/>
          <w:szCs w:val="24"/>
        </w:rPr>
        <w:t xml:space="preserve">
</w:t>
      </w:r>
      <w:r>
        <w:rPr>
          <w:color w:val="0200C9"/>
          <w:sz w:val="24"/>
          <w:szCs w:val="24"/>
        </w:rPr>
        <w:t xml:space="preserve">Disqualified: no justification for a listing at a higher level than the species level.</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EPPO (1998) PP 2/13 (1) Good plant protection practice. Ornamental Plants under Protected Cultivation. Bulletin OEPP/EPPO Bulletin 28, 363–386;</w:t>
      </w:r>
    </w:p>
    <w:p>
      <w:pPr>
        <w:numPr>
          <w:ilvl w:val="0"/>
          <w:numId w:val="1"/>
        </w:numPr>
        <w:spacing w:before="0" w:after="0" w:line="240" w:lineRule="auto"/>
        <w:jc w:val="left"/>
        <w:rPr>
          <w:color w:val="0200C9"/>
          <w:sz w:val="24"/>
          <w:szCs w:val="24"/>
        </w:rPr>
      </w:pPr>
      <w:r>
        <w:rPr>
          <w:color w:val="0200C9"/>
          <w:sz w:val="24"/>
          <w:szCs w:val="24"/>
        </w:rPr>
        <w:t xml:space="preserve">Martinez M (2001) Agromyzid mining flies injurious to ornamental and market- garden crops under glass. PHM Revue Horticole 430, 9-13;</w:t>
      </w:r>
    </w:p>
    <w:p>
      <w:pPr>
        <w:pageBreakBefore w:val="on"/>
      </w:pPr>
      <w:r/>
    </w:p>
    <w:p>
      <w:pPr>
        <w:widowControl w:val="on"/>
        <w:pBdr/>
        <w:spacing w:before="0" w:after="0" w:line="240" w:lineRule="auto"/>
        <w:ind w:left="0" w:right="0"/>
        <w:jc w:val="left"/>
        <w:outlineLvl w:val="2"/>
      </w:pPr>
      <w:r>
        <w:rPr>
          <w:color w:val="000000"/>
          <w:sz w:val="24"/>
          <w:szCs w:val="24"/>
        </w:rPr>
        <w:t xml:space="preserve">HOST PLANT N°3: </w:t>
      </w:r>
      <w:r>
        <w:rPr>
          <w:color w:val="149613"/>
          <w:sz w:val="24"/>
          <w:szCs w:val="24"/>
        </w:rPr>
        <w:t xml:space="preserve">Gerbera (1GEBG)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Commission Directive 93/49/EEC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br/>
        <w:t xml:space="preserve">CONCLUSION ON THE STATUS:</w:t>
      </w:r>
      <w:r>
        <w:rPr>
          <w:color w:val="000000"/>
          <w:sz w:val="24"/>
          <w:szCs w:val="24"/>
        </w:rPr>
        <w:t xml:space="preserve">
</w:t>
      </w:r>
      <w:r>
        <w:rPr>
          <w:color w:val="0200C9"/>
          <w:sz w:val="24"/>
          <w:szCs w:val="24"/>
        </w:rPr>
        <w:t xml:space="preserve">Disqualified: no justification for a listing at a higher level than the species level.</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Bene G (1990) Use of Diglyphus isaea (Wlk.) (Hym. Eulophidae) for the control of Liriomyza trifolii (Burgess), Chromatomyia horticola (Goureau) and Chromatomyia syngenesiae Hardy (Dipt. Agromyzidae) in greenhouses of chrysanthemum and gerbera. Redia 73, 63-78;</w:t>
      </w:r>
    </w:p>
    <w:p>
      <w:pPr>
        <w:numPr>
          <w:ilvl w:val="0"/>
          <w:numId w:val="1"/>
        </w:numPr>
        <w:spacing w:before="0" w:after="0" w:line="240" w:lineRule="auto"/>
        <w:jc w:val="left"/>
        <w:rPr>
          <w:color w:val="0200C9"/>
          <w:sz w:val="24"/>
          <w:szCs w:val="24"/>
        </w:rPr>
      </w:pPr>
      <w:r>
        <w:rPr>
          <w:color w:val="0200C9"/>
          <w:sz w:val="24"/>
          <w:szCs w:val="24"/>
        </w:rPr>
        <w:t xml:space="preserve">EPPO (1998) PP 2/13 (1) Good plant protection practice. Ornamental Plants under Protected Cultivation. Bulletin OEPP/EPPO Bulletin 28, 363–386;</w:t>
      </w:r>
    </w:p>
    <w:p>
      <w:pPr>
        <w:numPr>
          <w:ilvl w:val="0"/>
          <w:numId w:val="1"/>
        </w:numPr>
        <w:spacing w:before="0" w:after="0" w:line="240" w:lineRule="auto"/>
        <w:jc w:val="left"/>
        <w:rPr>
          <w:color w:val="0200C9"/>
          <w:sz w:val="24"/>
          <w:szCs w:val="24"/>
        </w:rPr>
      </w:pPr>
      <w:r>
        <w:rPr>
          <w:color w:val="0200C9"/>
          <w:sz w:val="24"/>
          <w:szCs w:val="24"/>
        </w:rPr>
        <w:t xml:space="preserve">Martinez M (2001) Agromyzid mining flies injurious to ornamental and market- garden crops under glass. PHM Revue Horticole 430, 9-13;</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1957087">
    <w:multiLevelType w:val="hybridMultilevel"/>
    <w:lvl w:ilvl="0" w:tplc="35055550">
      <w:start w:val="1"/>
      <w:numFmt w:val="decimal"/>
      <w:lvlText w:val="%1."/>
      <w:lvlJc w:val="left"/>
      <w:pPr>
        <w:ind w:left="720" w:hanging="360"/>
      </w:pPr>
    </w:lvl>
    <w:lvl w:ilvl="1" w:tplc="35055550" w:tentative="1">
      <w:start w:val="1"/>
      <w:numFmt w:val="lowerLetter"/>
      <w:lvlText w:val="%2."/>
      <w:lvlJc w:val="left"/>
      <w:pPr>
        <w:ind w:left="1440" w:hanging="360"/>
      </w:pPr>
    </w:lvl>
    <w:lvl w:ilvl="2" w:tplc="35055550" w:tentative="1">
      <w:start w:val="1"/>
      <w:numFmt w:val="lowerRoman"/>
      <w:lvlText w:val="%3."/>
      <w:lvlJc w:val="right"/>
      <w:pPr>
        <w:ind w:left="2160" w:hanging="180"/>
      </w:pPr>
    </w:lvl>
    <w:lvl w:ilvl="3" w:tplc="35055550" w:tentative="1">
      <w:start w:val="1"/>
      <w:numFmt w:val="decimal"/>
      <w:lvlText w:val="%4."/>
      <w:lvlJc w:val="left"/>
      <w:pPr>
        <w:ind w:left="2880" w:hanging="360"/>
      </w:pPr>
    </w:lvl>
    <w:lvl w:ilvl="4" w:tplc="35055550" w:tentative="1">
      <w:start w:val="1"/>
      <w:numFmt w:val="lowerLetter"/>
      <w:lvlText w:val="%5."/>
      <w:lvlJc w:val="left"/>
      <w:pPr>
        <w:ind w:left="3600" w:hanging="360"/>
      </w:pPr>
    </w:lvl>
    <w:lvl w:ilvl="5" w:tplc="35055550" w:tentative="1">
      <w:start w:val="1"/>
      <w:numFmt w:val="lowerRoman"/>
      <w:lvlText w:val="%6."/>
      <w:lvlJc w:val="right"/>
      <w:pPr>
        <w:ind w:left="4320" w:hanging="180"/>
      </w:pPr>
    </w:lvl>
    <w:lvl w:ilvl="6" w:tplc="35055550" w:tentative="1">
      <w:start w:val="1"/>
      <w:numFmt w:val="decimal"/>
      <w:lvlText w:val="%7."/>
      <w:lvlJc w:val="left"/>
      <w:pPr>
        <w:ind w:left="5040" w:hanging="360"/>
      </w:pPr>
    </w:lvl>
    <w:lvl w:ilvl="7" w:tplc="35055550" w:tentative="1">
      <w:start w:val="1"/>
      <w:numFmt w:val="lowerLetter"/>
      <w:lvlText w:val="%8."/>
      <w:lvlJc w:val="left"/>
      <w:pPr>
        <w:ind w:left="5760" w:hanging="360"/>
      </w:pPr>
    </w:lvl>
    <w:lvl w:ilvl="8" w:tplc="35055550" w:tentative="1">
      <w:start w:val="1"/>
      <w:numFmt w:val="lowerRoman"/>
      <w:lvlText w:val="%9."/>
      <w:lvlJc w:val="right"/>
      <w:pPr>
        <w:ind w:left="6480" w:hanging="180"/>
      </w:pPr>
    </w:lvl>
  </w:abstractNum>
  <w:abstractNum w:abstractNumId="11957086">
    <w:multiLevelType w:val="hybridMultilevel"/>
    <w:lvl w:ilvl="0" w:tplc="7117285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1957086">
    <w:abstractNumId w:val="11957086"/>
  </w:num>
  <w:num w:numId="11957087">
    <w:abstractNumId w:val="1195708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611727480"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