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Acaridae (Rhizoglyphidae) 1ACARF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Acari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F30000"/>
          <w:sz w:val="24"/>
          <w:szCs w:val="24"/>
        </w:rPr>
      </w:pPr>
      <w:r>
        <w:rPr>
          <w:color w:val="F30000"/>
          <w:sz w:val="24"/>
          <w:szCs w:val="24"/>
        </w:rPr>
        <w:t xml:space="preserve">No: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F30000"/>
          <w:sz w:val="24"/>
          <w:szCs w:val="24"/>
        </w:rPr>
      </w:pPr>
      <w:r>
        <w:rPr>
          <w:color w:val="F30000"/>
          <w:sz w:val="24"/>
          <w:szCs w:val="24"/>
        </w:rPr>
        <w:t xml:space="preserve">Not candidate: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When replying to the RNQP Questionnaire for the 'Ornamental Sector', no EU Member State identified this entry as important and justified to keep Rhizoglyphidae (Acaridae) listed at a higher level than the species level. No EU Member State proposed to replace this entry by pests listed at the Species level.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br w:type="page"/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Narcissus (1NARG)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Directive 93/49/EEC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Evaluation continues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Disqualified: No EU Member State considered this entry as important in the answers to the RNQP Questionnaire and gave justification(s) for a listing at a higher level than the species level. This entry will be covered by the 'Substantially free from' requirement that will remain in the Ornamental EU Marketing Directives.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522459">
    <w:multiLevelType w:val="hybridMultilevel"/>
    <w:lvl w:ilvl="0" w:tplc="59416247">
      <w:start w:val="1"/>
      <w:numFmt w:val="decimal"/>
      <w:lvlText w:val="%1."/>
      <w:lvlJc w:val="left"/>
      <w:pPr>
        <w:ind w:left="720" w:hanging="360"/>
      </w:pPr>
    </w:lvl>
    <w:lvl w:ilvl="1" w:tplc="59416247" w:tentative="1">
      <w:start w:val="1"/>
      <w:numFmt w:val="lowerLetter"/>
      <w:lvlText w:val="%2."/>
      <w:lvlJc w:val="left"/>
      <w:pPr>
        <w:ind w:left="1440" w:hanging="360"/>
      </w:pPr>
    </w:lvl>
    <w:lvl w:ilvl="2" w:tplc="59416247" w:tentative="1">
      <w:start w:val="1"/>
      <w:numFmt w:val="lowerRoman"/>
      <w:lvlText w:val="%3."/>
      <w:lvlJc w:val="right"/>
      <w:pPr>
        <w:ind w:left="2160" w:hanging="180"/>
      </w:pPr>
    </w:lvl>
    <w:lvl w:ilvl="3" w:tplc="59416247" w:tentative="1">
      <w:start w:val="1"/>
      <w:numFmt w:val="decimal"/>
      <w:lvlText w:val="%4."/>
      <w:lvlJc w:val="left"/>
      <w:pPr>
        <w:ind w:left="2880" w:hanging="360"/>
      </w:pPr>
    </w:lvl>
    <w:lvl w:ilvl="4" w:tplc="59416247" w:tentative="1">
      <w:start w:val="1"/>
      <w:numFmt w:val="lowerLetter"/>
      <w:lvlText w:val="%5."/>
      <w:lvlJc w:val="left"/>
      <w:pPr>
        <w:ind w:left="3600" w:hanging="360"/>
      </w:pPr>
    </w:lvl>
    <w:lvl w:ilvl="5" w:tplc="59416247" w:tentative="1">
      <w:start w:val="1"/>
      <w:numFmt w:val="lowerRoman"/>
      <w:lvlText w:val="%6."/>
      <w:lvlJc w:val="right"/>
      <w:pPr>
        <w:ind w:left="4320" w:hanging="180"/>
      </w:pPr>
    </w:lvl>
    <w:lvl w:ilvl="6" w:tplc="59416247" w:tentative="1">
      <w:start w:val="1"/>
      <w:numFmt w:val="decimal"/>
      <w:lvlText w:val="%7."/>
      <w:lvlJc w:val="left"/>
      <w:pPr>
        <w:ind w:left="5040" w:hanging="360"/>
      </w:pPr>
    </w:lvl>
    <w:lvl w:ilvl="7" w:tplc="59416247" w:tentative="1">
      <w:start w:val="1"/>
      <w:numFmt w:val="lowerLetter"/>
      <w:lvlText w:val="%8."/>
      <w:lvlJc w:val="left"/>
      <w:pPr>
        <w:ind w:left="5760" w:hanging="360"/>
      </w:pPr>
    </w:lvl>
    <w:lvl w:ilvl="8" w:tplc="594162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522458">
    <w:multiLevelType w:val="hybridMultilevel"/>
    <w:lvl w:ilvl="0" w:tplc="988245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522458">
    <w:abstractNumId w:val="68522458"/>
  </w:num>
  <w:num w:numId="68522459">
    <w:abstractNumId w:val="6852245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17317907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