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albo-atrum (VERTAA)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673662bf2dca8bf4"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Corylus avellana (CYLAV)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86459">
    <w:multiLevelType w:val="hybridMultilevel"/>
    <w:lvl w:ilvl="0" w:tplc="67341510">
      <w:start w:val="1"/>
      <w:numFmt w:val="decimal"/>
      <w:lvlText w:val="%1."/>
      <w:lvlJc w:val="left"/>
      <w:pPr>
        <w:ind w:left="720" w:hanging="360"/>
      </w:pPr>
    </w:lvl>
    <w:lvl w:ilvl="1" w:tplc="67341510" w:tentative="1">
      <w:start w:val="1"/>
      <w:numFmt w:val="lowerLetter"/>
      <w:lvlText w:val="%2."/>
      <w:lvlJc w:val="left"/>
      <w:pPr>
        <w:ind w:left="1440" w:hanging="360"/>
      </w:pPr>
    </w:lvl>
    <w:lvl w:ilvl="2" w:tplc="67341510" w:tentative="1">
      <w:start w:val="1"/>
      <w:numFmt w:val="lowerRoman"/>
      <w:lvlText w:val="%3."/>
      <w:lvlJc w:val="right"/>
      <w:pPr>
        <w:ind w:left="2160" w:hanging="180"/>
      </w:pPr>
    </w:lvl>
    <w:lvl w:ilvl="3" w:tplc="67341510" w:tentative="1">
      <w:start w:val="1"/>
      <w:numFmt w:val="decimal"/>
      <w:lvlText w:val="%4."/>
      <w:lvlJc w:val="left"/>
      <w:pPr>
        <w:ind w:left="2880" w:hanging="360"/>
      </w:pPr>
    </w:lvl>
    <w:lvl w:ilvl="4" w:tplc="67341510" w:tentative="1">
      <w:start w:val="1"/>
      <w:numFmt w:val="lowerLetter"/>
      <w:lvlText w:val="%5."/>
      <w:lvlJc w:val="left"/>
      <w:pPr>
        <w:ind w:left="3600" w:hanging="360"/>
      </w:pPr>
    </w:lvl>
    <w:lvl w:ilvl="5" w:tplc="67341510" w:tentative="1">
      <w:start w:val="1"/>
      <w:numFmt w:val="lowerRoman"/>
      <w:lvlText w:val="%6."/>
      <w:lvlJc w:val="right"/>
      <w:pPr>
        <w:ind w:left="4320" w:hanging="180"/>
      </w:pPr>
    </w:lvl>
    <w:lvl w:ilvl="6" w:tplc="67341510" w:tentative="1">
      <w:start w:val="1"/>
      <w:numFmt w:val="decimal"/>
      <w:lvlText w:val="%7."/>
      <w:lvlJc w:val="left"/>
      <w:pPr>
        <w:ind w:left="5040" w:hanging="360"/>
      </w:pPr>
    </w:lvl>
    <w:lvl w:ilvl="7" w:tplc="67341510" w:tentative="1">
      <w:start w:val="1"/>
      <w:numFmt w:val="lowerLetter"/>
      <w:lvlText w:val="%8."/>
      <w:lvlJc w:val="left"/>
      <w:pPr>
        <w:ind w:left="5760" w:hanging="360"/>
      </w:pPr>
    </w:lvl>
    <w:lvl w:ilvl="8" w:tplc="67341510" w:tentative="1">
      <w:start w:val="1"/>
      <w:numFmt w:val="lowerRoman"/>
      <w:lvlText w:val="%9."/>
      <w:lvlJc w:val="right"/>
      <w:pPr>
        <w:ind w:left="6480" w:hanging="180"/>
      </w:pPr>
    </w:lvl>
  </w:abstractNum>
  <w:abstractNum w:abstractNumId="51286458">
    <w:multiLevelType w:val="hybridMultilevel"/>
    <w:lvl w:ilvl="0" w:tplc="54957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86458">
    <w:abstractNumId w:val="51286458"/>
  </w:num>
  <w:num w:numId="51286459">
    <w:abstractNumId w:val="512864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6254793" Type="http://schemas.microsoft.com/office/2011/relationships/commentsExtended" Target="commentsExtended.xml"/><Relationship Id="rId1673662bf2dca8bf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