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516a32a5c4bd48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TSWV is frequently associated with the pathway at origin with key plant genera in trade—Chrysanthemum, Pelargonium, Impatiens etc.—susceptible to this virus (EFSA, 2012).The interception reports in EUROPHYT (very few) indicate that only 2 interceptions have been reported on Pelargonium from 1996 to 2012. TSWV and viruliferous thrips are being transported in living planting material and will survive transport and storage as long as their hosts remain alive (EFSA, 2012).</w:t>
      </w:r>
      <w:r>
        <w:rPr>
          <w:color w:val="0200C9"/>
          <w:sz w:val="24"/>
          <w:szCs w:val="24"/>
        </w:rPr>
        <w:br/>
        <w:t xml:space="preserve">INSV and TSWV have occasionally been detected in Pelargonium × hortorum and P.peltatum in the USA (Daughtrey et al., 1997) and P. peltatum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No significant crop losses in geraniums (Pelargonium spp.) from tospoviruses were reported even though INSV and TSWV have occasionally been detected in Pelargonium × hortorum and P.peltatum in the USA (Daughtrey et al., 1997) and P. peltatum in the Netherlands (Verhoeven and Roenhorst, 1998). 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60702">
    <w:multiLevelType w:val="hybridMultilevel"/>
    <w:lvl w:ilvl="0" w:tplc="40037002">
      <w:start w:val="1"/>
      <w:numFmt w:val="decimal"/>
      <w:lvlText w:val="%1."/>
      <w:lvlJc w:val="left"/>
      <w:pPr>
        <w:ind w:left="720" w:hanging="360"/>
      </w:pPr>
    </w:lvl>
    <w:lvl w:ilvl="1" w:tplc="40037002" w:tentative="1">
      <w:start w:val="1"/>
      <w:numFmt w:val="lowerLetter"/>
      <w:lvlText w:val="%2."/>
      <w:lvlJc w:val="left"/>
      <w:pPr>
        <w:ind w:left="1440" w:hanging="360"/>
      </w:pPr>
    </w:lvl>
    <w:lvl w:ilvl="2" w:tplc="40037002" w:tentative="1">
      <w:start w:val="1"/>
      <w:numFmt w:val="lowerRoman"/>
      <w:lvlText w:val="%3."/>
      <w:lvlJc w:val="right"/>
      <w:pPr>
        <w:ind w:left="2160" w:hanging="180"/>
      </w:pPr>
    </w:lvl>
    <w:lvl w:ilvl="3" w:tplc="40037002" w:tentative="1">
      <w:start w:val="1"/>
      <w:numFmt w:val="decimal"/>
      <w:lvlText w:val="%4."/>
      <w:lvlJc w:val="left"/>
      <w:pPr>
        <w:ind w:left="2880" w:hanging="360"/>
      </w:pPr>
    </w:lvl>
    <w:lvl w:ilvl="4" w:tplc="40037002" w:tentative="1">
      <w:start w:val="1"/>
      <w:numFmt w:val="lowerLetter"/>
      <w:lvlText w:val="%5."/>
      <w:lvlJc w:val="left"/>
      <w:pPr>
        <w:ind w:left="3600" w:hanging="360"/>
      </w:pPr>
    </w:lvl>
    <w:lvl w:ilvl="5" w:tplc="40037002" w:tentative="1">
      <w:start w:val="1"/>
      <w:numFmt w:val="lowerRoman"/>
      <w:lvlText w:val="%6."/>
      <w:lvlJc w:val="right"/>
      <w:pPr>
        <w:ind w:left="4320" w:hanging="180"/>
      </w:pPr>
    </w:lvl>
    <w:lvl w:ilvl="6" w:tplc="40037002" w:tentative="1">
      <w:start w:val="1"/>
      <w:numFmt w:val="decimal"/>
      <w:lvlText w:val="%7."/>
      <w:lvlJc w:val="left"/>
      <w:pPr>
        <w:ind w:left="5040" w:hanging="360"/>
      </w:pPr>
    </w:lvl>
    <w:lvl w:ilvl="7" w:tplc="40037002" w:tentative="1">
      <w:start w:val="1"/>
      <w:numFmt w:val="lowerLetter"/>
      <w:lvlText w:val="%8."/>
      <w:lvlJc w:val="left"/>
      <w:pPr>
        <w:ind w:left="5760" w:hanging="360"/>
      </w:pPr>
    </w:lvl>
    <w:lvl w:ilvl="8" w:tplc="40037002" w:tentative="1">
      <w:start w:val="1"/>
      <w:numFmt w:val="lowerRoman"/>
      <w:lvlText w:val="%9."/>
      <w:lvlJc w:val="right"/>
      <w:pPr>
        <w:ind w:left="6480" w:hanging="180"/>
      </w:pPr>
    </w:lvl>
  </w:abstractNum>
  <w:abstractNum w:abstractNumId="86960701">
    <w:multiLevelType w:val="hybridMultilevel"/>
    <w:lvl w:ilvl="0" w:tplc="94054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60701">
    <w:abstractNumId w:val="86960701"/>
  </w:num>
  <w:num w:numId="86960702">
    <w:abstractNumId w:val="869607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5535148" Type="http://schemas.microsoft.com/office/2011/relationships/commentsExtended" Target="commentsExtended.xml"/><Relationship Id="rId66516a32a5c4bd48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