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Rhizoctonia (anamorphic genus) 1RHIZG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Rhizoctonia spp.</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answering to the RNQP Questionnaire, for the Vegetable reproductive and planting material (excluding seeds) Sector, no EU Member State identified this entry as important and justified to keep Rhizoctonia listed at a higher level than the species level. No EU Member State proposed to replace this entry by pests listed at the Species level.</w:t>
      </w:r>
      <w:r>
        <w:rPr>
          <w:color w:val="F30000"/>
          <w:sz w:val="24"/>
          <w:szCs w:val="24"/>
        </w:rPr>
        <w:br/>
        <w:t xml:space="preserve">For the Ornamental sector, [except a selection (by accident) of this entry by FR as important for Begonia x hiemalis,] no EU Member State identified this entry as important and justified to keep Rhizoctonia listed at a higher level than the species level. Rhizoctonia solani on Lilium and Begonia x hiemalis, and Rhizoctonia tuliparum on Lilium are the main species identified by the experts on these two host plants. Numerous studies have been carried out on these ubiquitous and polyphagous fungus in order to characterize the diversity of its strains. Indeed, these differ in particular by their cultural characteristics, their virulence and in particular their host specificity. Experts recommended neither a listing at a higher level than the species level, nor to analyse the RNQP status of these two species. They considered that these pest/host combinations are more relevant for the vegetable sector.</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worldwide in distribution.</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Lilium (1LILG)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Wilting may be caused by infection of the base of plants by Rhizoctonia spp. hampering upward water transport. Seedlings, cuttings or transplanted material of ornamental plants rot near the soil surface and die. Such damping off or collar rot is caused by a variety of soil fungi, including Rhizoctonia solani (EPPO, 1998).</w:t>
      </w:r>
      <w:r>
        <w:rPr>
          <w:color w:val="0200C9"/>
          <w:sz w:val="24"/>
          <w:szCs w:val="24"/>
        </w:rPr>
        <w:br/>
        <w:t xml:space="preserve">Plants for planting are a pathway, however because of the wide host range and longevity of inoculum sources in the environment, planting material (transplants) are not considered to be the main pathway for introduction under outdoor field conditions (though they are mainly indoor plants). Remark: It may also be present in some substrates and compost, or peat. It is not uncommon for it to pollute non-disinfected equipment used in nurseries.</w:t>
      </w:r>
      <w:r>
        <w:rPr>
          <w:color w:val="0200C9"/>
          <w:sz w:val="24"/>
          <w:szCs w:val="24"/>
        </w:rPr>
        <w:br/>
        <w:t xml:space="preserve">Transplants produced under at-risk situations could be considered the main pathway if the intended use was for a protected facility that used uninfested soil media and had been thoroughly cleaned of potential infection sources before use.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There were a few references for economic impact, and the need for treatments, e.g. in Israel on lily (Lilium longiflorum) rot in these plants, when grown as cut flowers, caused serious economic damage expressed in reduction in yield and quality. This was caused by (not separately recorded) Rhizoctonia AG-A [R. solani], Rhizoctonia solani, Pythium oligandrum, Fusarium proliferatum and F. oxysporum (Lebiush-Mordechai et al.,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EPPO (1998) PP 2/13 (1). Good plant protection practice. Ornamental Plants under Protected Cultivation. Bulletin OEPP/EPPO Bulletin 28, 363–386;</w:t>
      </w:r>
    </w:p>
    <w:p>
      <w:pPr>
        <w:numPr>
          <w:ilvl w:val="0"/>
          <w:numId w:val="1"/>
        </w:numPr>
        <w:spacing w:before="0" w:after="0" w:line="240" w:lineRule="auto"/>
        <w:jc w:val="left"/>
        <w:rPr>
          <w:color w:val="0200C9"/>
          <w:sz w:val="24"/>
          <w:szCs w:val="24"/>
        </w:rPr>
      </w:pPr>
      <w:r>
        <w:rPr>
          <w:color w:val="0200C9"/>
          <w:sz w:val="24"/>
          <w:szCs w:val="24"/>
        </w:rPr>
        <w:t xml:space="preserve">Tsror L (2014) Bulb and root rot in lily (Lilium longiflorum) and onion (Allium cepa) in Israel. Journal of Phytopathology 162, 466-471;</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1870245">
    <w:multiLevelType w:val="hybridMultilevel"/>
    <w:lvl w:ilvl="0" w:tplc="48382547">
      <w:start w:val="1"/>
      <w:numFmt w:val="decimal"/>
      <w:lvlText w:val="%1."/>
      <w:lvlJc w:val="left"/>
      <w:pPr>
        <w:ind w:left="720" w:hanging="360"/>
      </w:pPr>
    </w:lvl>
    <w:lvl w:ilvl="1" w:tplc="48382547" w:tentative="1">
      <w:start w:val="1"/>
      <w:numFmt w:val="lowerLetter"/>
      <w:lvlText w:val="%2."/>
      <w:lvlJc w:val="left"/>
      <w:pPr>
        <w:ind w:left="1440" w:hanging="360"/>
      </w:pPr>
    </w:lvl>
    <w:lvl w:ilvl="2" w:tplc="48382547" w:tentative="1">
      <w:start w:val="1"/>
      <w:numFmt w:val="lowerRoman"/>
      <w:lvlText w:val="%3."/>
      <w:lvlJc w:val="right"/>
      <w:pPr>
        <w:ind w:left="2160" w:hanging="180"/>
      </w:pPr>
    </w:lvl>
    <w:lvl w:ilvl="3" w:tplc="48382547" w:tentative="1">
      <w:start w:val="1"/>
      <w:numFmt w:val="decimal"/>
      <w:lvlText w:val="%4."/>
      <w:lvlJc w:val="left"/>
      <w:pPr>
        <w:ind w:left="2880" w:hanging="360"/>
      </w:pPr>
    </w:lvl>
    <w:lvl w:ilvl="4" w:tplc="48382547" w:tentative="1">
      <w:start w:val="1"/>
      <w:numFmt w:val="lowerLetter"/>
      <w:lvlText w:val="%5."/>
      <w:lvlJc w:val="left"/>
      <w:pPr>
        <w:ind w:left="3600" w:hanging="360"/>
      </w:pPr>
    </w:lvl>
    <w:lvl w:ilvl="5" w:tplc="48382547" w:tentative="1">
      <w:start w:val="1"/>
      <w:numFmt w:val="lowerRoman"/>
      <w:lvlText w:val="%6."/>
      <w:lvlJc w:val="right"/>
      <w:pPr>
        <w:ind w:left="4320" w:hanging="180"/>
      </w:pPr>
    </w:lvl>
    <w:lvl w:ilvl="6" w:tplc="48382547" w:tentative="1">
      <w:start w:val="1"/>
      <w:numFmt w:val="decimal"/>
      <w:lvlText w:val="%7."/>
      <w:lvlJc w:val="left"/>
      <w:pPr>
        <w:ind w:left="5040" w:hanging="360"/>
      </w:pPr>
    </w:lvl>
    <w:lvl w:ilvl="7" w:tplc="48382547" w:tentative="1">
      <w:start w:val="1"/>
      <w:numFmt w:val="lowerLetter"/>
      <w:lvlText w:val="%8."/>
      <w:lvlJc w:val="left"/>
      <w:pPr>
        <w:ind w:left="5760" w:hanging="360"/>
      </w:pPr>
    </w:lvl>
    <w:lvl w:ilvl="8" w:tplc="48382547" w:tentative="1">
      <w:start w:val="1"/>
      <w:numFmt w:val="lowerRoman"/>
      <w:lvlText w:val="%9."/>
      <w:lvlJc w:val="right"/>
      <w:pPr>
        <w:ind w:left="6480" w:hanging="180"/>
      </w:pPr>
    </w:lvl>
  </w:abstractNum>
  <w:abstractNum w:abstractNumId="91870244">
    <w:multiLevelType w:val="hybridMultilevel"/>
    <w:lvl w:ilvl="0" w:tplc="6936578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1870244">
    <w:abstractNumId w:val="91870244"/>
  </w:num>
  <w:num w:numId="91870245">
    <w:abstractNumId w:val="918702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24973708"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