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Pythium (1PYTHG)</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Pythium spp.</w:t>
      </w:r>
      <w:r>
        <w:rPr>
          <w:color w:val="000000"/>
          <w:sz w:val="24"/>
          <w:szCs w:val="24"/>
          <w:u w:val="single"/>
        </w:rPr>
        <w:br/>
        <w:t xml:space="preserve">Pest category:</w:t>
      </w:r>
      <w:r>
        <w:rPr>
          <w:color w:val="000000"/>
          <w:sz w:val="24"/>
          <w:szCs w:val="24"/>
        </w:rPr>
        <w:t xml:space="preserve">
</w:t>
      </w:r>
      <w:r>
        <w:rPr>
          <w:color w:val="0200C9"/>
          <w:sz w:val="24"/>
          <w:szCs w:val="24"/>
        </w:rPr>
        <w:t xml:space="preserve">Chromista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F30000"/>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F30000"/>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Not candidate: Ornamental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F30000"/>
          <w:sz w:val="24"/>
          <w:szCs w:val="24"/>
        </w:rPr>
        <w:t xml:space="preserve">For the Seed potato Sector, experts indicated that Pythium ultimum is mostly encountered. However experts concluded that more investigations and efforts to diagnose pest at the species level is needed. This would be necessary for a listing at the Species level. As long as measures are only based on symptoms for this pest, a listing at the Genus level is appropriate for this sector.</w:t>
      </w:r>
      <w:r>
        <w:rPr>
          <w:color w:val="F30000"/>
          <w:sz w:val="24"/>
          <w:szCs w:val="24"/>
        </w:rPr>
        <w:br/>
        <w:t xml:space="preserve">For the Vegetable reproductive and planting material (excluding seeds) Sector, and for the Ornamental sector, no EU Member State identified this entry as important and justified to keep Pythium listed at a higher level than the species level. No EU Member State proposed to replace this entry by pests listed at the Species level.</w:t>
      </w:r>
      <w:r>
        <w:rPr>
          <w:color w:val="F30000"/>
          <w:sz w:val="24"/>
          <w:szCs w:val="24"/>
        </w:rPr>
        <w:br/>
        <w:t xml:space="preserve">[identification by France was an error]</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Lilium (1LILG)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br/>
        <w:t xml:space="preserve">CONCLUSION ON THE STATUS:</w:t>
      </w:r>
      <w:r>
        <w:rPr>
          <w:color w:val="000000"/>
          <w:sz w:val="24"/>
          <w:szCs w:val="24"/>
        </w:rPr>
        <w:t xml:space="preserve">
</w:t>
      </w:r>
      <w:r>
        <w:rPr>
          <w:color w:val="0200C9"/>
          <w:sz w:val="24"/>
          <w:szCs w:val="24"/>
        </w:rPr>
        <w:t xml:space="preserve">Disqualified: No EU Member State considered this entry as important in the answers to the RNQP Questionnaire [identification by FR was an error] and gave justification(s) for a listing at a higher level than the species level. This entry will be covered by the 'substantially free from' requirement that will remain in the ornamental EU Marketing Directives.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EPPO (1998) PP 2/13 (1) Good plant protection practice. Ornamental Plants under Protected Cultivation. Bulletin OEPP/EPPO Bulletin 28, 363–386;</w:t>
      </w:r>
    </w:p>
    <w:p>
      <w:pPr>
        <w:numPr>
          <w:ilvl w:val="0"/>
          <w:numId w:val="1"/>
        </w:numPr>
        <w:spacing w:before="0" w:after="0" w:line="240" w:lineRule="auto"/>
        <w:jc w:val="left"/>
        <w:rPr>
          <w:color w:val="0200C9"/>
          <w:sz w:val="24"/>
          <w:szCs w:val="24"/>
        </w:rPr>
      </w:pPr>
      <w:r>
        <w:rPr>
          <w:color w:val="0200C9"/>
          <w:sz w:val="24"/>
          <w:szCs w:val="24"/>
        </w:rPr>
        <w:t xml:space="preserve">Lebiush-Mordechai S, Erlich O, Maymon M, Freeman S, Ben-David T, Ofek T, Palevsky E &amp; Tsror L (2014) Bulb and root rot in lily (Lilium longiflorum) and onion (Allium cepa) in Israel. Journal of Phytopathology 162, 466-471;</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7385679">
    <w:multiLevelType w:val="hybridMultilevel"/>
    <w:lvl w:ilvl="0" w:tplc="43109212">
      <w:start w:val="1"/>
      <w:numFmt w:val="decimal"/>
      <w:lvlText w:val="%1."/>
      <w:lvlJc w:val="left"/>
      <w:pPr>
        <w:ind w:left="720" w:hanging="360"/>
      </w:pPr>
    </w:lvl>
    <w:lvl w:ilvl="1" w:tplc="43109212" w:tentative="1">
      <w:start w:val="1"/>
      <w:numFmt w:val="lowerLetter"/>
      <w:lvlText w:val="%2."/>
      <w:lvlJc w:val="left"/>
      <w:pPr>
        <w:ind w:left="1440" w:hanging="360"/>
      </w:pPr>
    </w:lvl>
    <w:lvl w:ilvl="2" w:tplc="43109212" w:tentative="1">
      <w:start w:val="1"/>
      <w:numFmt w:val="lowerRoman"/>
      <w:lvlText w:val="%3."/>
      <w:lvlJc w:val="right"/>
      <w:pPr>
        <w:ind w:left="2160" w:hanging="180"/>
      </w:pPr>
    </w:lvl>
    <w:lvl w:ilvl="3" w:tplc="43109212" w:tentative="1">
      <w:start w:val="1"/>
      <w:numFmt w:val="decimal"/>
      <w:lvlText w:val="%4."/>
      <w:lvlJc w:val="left"/>
      <w:pPr>
        <w:ind w:left="2880" w:hanging="360"/>
      </w:pPr>
    </w:lvl>
    <w:lvl w:ilvl="4" w:tplc="43109212" w:tentative="1">
      <w:start w:val="1"/>
      <w:numFmt w:val="lowerLetter"/>
      <w:lvlText w:val="%5."/>
      <w:lvlJc w:val="left"/>
      <w:pPr>
        <w:ind w:left="3600" w:hanging="360"/>
      </w:pPr>
    </w:lvl>
    <w:lvl w:ilvl="5" w:tplc="43109212" w:tentative="1">
      <w:start w:val="1"/>
      <w:numFmt w:val="lowerRoman"/>
      <w:lvlText w:val="%6."/>
      <w:lvlJc w:val="right"/>
      <w:pPr>
        <w:ind w:left="4320" w:hanging="180"/>
      </w:pPr>
    </w:lvl>
    <w:lvl w:ilvl="6" w:tplc="43109212" w:tentative="1">
      <w:start w:val="1"/>
      <w:numFmt w:val="decimal"/>
      <w:lvlText w:val="%7."/>
      <w:lvlJc w:val="left"/>
      <w:pPr>
        <w:ind w:left="5040" w:hanging="360"/>
      </w:pPr>
    </w:lvl>
    <w:lvl w:ilvl="7" w:tplc="43109212" w:tentative="1">
      <w:start w:val="1"/>
      <w:numFmt w:val="lowerLetter"/>
      <w:lvlText w:val="%8."/>
      <w:lvlJc w:val="left"/>
      <w:pPr>
        <w:ind w:left="5760" w:hanging="360"/>
      </w:pPr>
    </w:lvl>
    <w:lvl w:ilvl="8" w:tplc="43109212" w:tentative="1">
      <w:start w:val="1"/>
      <w:numFmt w:val="lowerRoman"/>
      <w:lvlText w:val="%9."/>
      <w:lvlJc w:val="right"/>
      <w:pPr>
        <w:ind w:left="6480" w:hanging="180"/>
      </w:pPr>
    </w:lvl>
  </w:abstractNum>
  <w:abstractNum w:abstractNumId="97385678">
    <w:multiLevelType w:val="hybridMultilevel"/>
    <w:lvl w:ilvl="0" w:tplc="3377054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7385678">
    <w:abstractNumId w:val="97385678"/>
  </w:num>
  <w:num w:numId="97385679">
    <w:abstractNumId w:val="9738567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566822268"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