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Pythium (1PYTHG)</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Pythium spp.</w:t>
      </w:r>
      <w:r>
        <w:rPr>
          <w:color w:val="000000"/>
          <w:sz w:val="24"/>
          <w:szCs w:val="24"/>
          <w:u w:val="single"/>
        </w:rPr>
        <w:br/>
        <w:t xml:space="preserve">Pest category:</w:t>
      </w:r>
      <w:r>
        <w:rPr>
          <w:color w:val="000000"/>
          <w:sz w:val="24"/>
          <w:szCs w:val="24"/>
        </w:rPr>
        <w:t xml:space="preserve">
</w:t>
      </w:r>
      <w:r>
        <w:rPr>
          <w:color w:val="0200C9"/>
          <w:sz w:val="24"/>
          <w:szCs w:val="24"/>
        </w:rPr>
        <w:t xml:space="preserve">Chromista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F30000"/>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 Ornamental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F30000"/>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Not candidate: Ornamental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F30000"/>
          <w:sz w:val="24"/>
          <w:szCs w:val="24"/>
        </w:rPr>
        <w:t xml:space="preserve">For the Seed potato Sector, experts indicated that Pythium ultimum is mostly encountered. However experts concluded that more investigations and efforts to diagnose pest at the species level is needed. This would be necessary for a listing at the Species level. As long as measures are only based on symptoms for this pest, a listing at the Genus level is appropriate for this sector.</w:t>
      </w:r>
      <w:r>
        <w:rPr>
          <w:color w:val="F30000"/>
          <w:sz w:val="24"/>
          <w:szCs w:val="24"/>
        </w:rPr>
        <w:br/>
        <w:t xml:space="preserve">For the Vegetable reproductive and planting material (excluding seeds) Sector, and for the Ornamental sector, no EU Member State identified this entry as important and justified to keep Pythium listed at a higher level than the species level. No EU Member State proposed to replace this entry by pests listed at the Species level.</w:t>
      </w:r>
      <w:r>
        <w:rPr>
          <w:color w:val="F30000"/>
          <w:sz w:val="24"/>
          <w:szCs w:val="24"/>
        </w:rPr>
        <w:br/>
        <w:t xml:space="preserve">[identification by France was an error]</w:t>
      </w:r>
    </w:p>
    <w:p>
      <w:pPr>
        <w:widowControl w:val="on"/>
        <w:pBdr/>
        <w:spacing w:before="0" w:after="0" w:line="240" w:lineRule="auto"/>
        <w:ind w:left="0" w:right="0"/>
        <w:jc w:val="left"/>
        <w:outlineLvl w:val="2"/>
      </w:pPr>
      <w:r>
        <w:rPr>
          <w:color w:val="000000"/>
          <w:sz w:val="24"/>
          <w:szCs w:val="24"/>
        </w:rPr>
        <w:br/>
        <w:t xml:space="preserve">HOST PLANT N°1: </w:t>
      </w:r>
      <w:r>
        <w:rPr>
          <w:color w:val="149613"/>
          <w:sz w:val="24"/>
          <w:szCs w:val="24"/>
        </w:rPr>
        <w:t xml:space="preserve">Dianthus caryophyllus (DINCA)</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Commission Directive 93/49/EEC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No EU Member State considered this entry as important in the answers to the RNQP Questionnaire [identification by FR was an error] and gave justification(s) for a listing at a higher level than the species level. This entry will be covered by the 'substantially free from' requirement that will remain in the ornamental EU Marketing Directives.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EPPO (1998) PP 2/13 (1) Good plant protection practice. Ornamental Plants under Protected Cultivation. Bulletin OEPP/EPPO Bulletin 28, 363–386;</w:t>
      </w:r>
    </w:p>
    <w:p>
      <w:pPr>
        <w:numPr>
          <w:ilvl w:val="0"/>
          <w:numId w:val="1"/>
        </w:numPr>
        <w:spacing w:before="0" w:after="0" w:line="240" w:lineRule="auto"/>
        <w:jc w:val="left"/>
        <w:rPr>
          <w:color w:val="0200C9"/>
          <w:sz w:val="24"/>
          <w:szCs w:val="24"/>
        </w:rPr>
      </w:pPr>
      <w:r>
        <w:rPr>
          <w:color w:val="0200C9"/>
          <w:sz w:val="24"/>
          <w:szCs w:val="24"/>
        </w:rPr>
        <w:t xml:space="preserve">Graper DF &amp; Hanan JJ (1990) Effects of Pythium, Trichoderma and Truban on carnation growth. Applied Agricultural Research 5, 27-31;</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0899829">
    <w:multiLevelType w:val="hybridMultilevel"/>
    <w:lvl w:ilvl="0" w:tplc="19619302">
      <w:start w:val="1"/>
      <w:numFmt w:val="decimal"/>
      <w:lvlText w:val="%1."/>
      <w:lvlJc w:val="left"/>
      <w:pPr>
        <w:ind w:left="720" w:hanging="360"/>
      </w:pPr>
    </w:lvl>
    <w:lvl w:ilvl="1" w:tplc="19619302" w:tentative="1">
      <w:start w:val="1"/>
      <w:numFmt w:val="lowerLetter"/>
      <w:lvlText w:val="%2."/>
      <w:lvlJc w:val="left"/>
      <w:pPr>
        <w:ind w:left="1440" w:hanging="360"/>
      </w:pPr>
    </w:lvl>
    <w:lvl w:ilvl="2" w:tplc="19619302" w:tentative="1">
      <w:start w:val="1"/>
      <w:numFmt w:val="lowerRoman"/>
      <w:lvlText w:val="%3."/>
      <w:lvlJc w:val="right"/>
      <w:pPr>
        <w:ind w:left="2160" w:hanging="180"/>
      </w:pPr>
    </w:lvl>
    <w:lvl w:ilvl="3" w:tplc="19619302" w:tentative="1">
      <w:start w:val="1"/>
      <w:numFmt w:val="decimal"/>
      <w:lvlText w:val="%4."/>
      <w:lvlJc w:val="left"/>
      <w:pPr>
        <w:ind w:left="2880" w:hanging="360"/>
      </w:pPr>
    </w:lvl>
    <w:lvl w:ilvl="4" w:tplc="19619302" w:tentative="1">
      <w:start w:val="1"/>
      <w:numFmt w:val="lowerLetter"/>
      <w:lvlText w:val="%5."/>
      <w:lvlJc w:val="left"/>
      <w:pPr>
        <w:ind w:left="3600" w:hanging="360"/>
      </w:pPr>
    </w:lvl>
    <w:lvl w:ilvl="5" w:tplc="19619302" w:tentative="1">
      <w:start w:val="1"/>
      <w:numFmt w:val="lowerRoman"/>
      <w:lvlText w:val="%6."/>
      <w:lvlJc w:val="right"/>
      <w:pPr>
        <w:ind w:left="4320" w:hanging="180"/>
      </w:pPr>
    </w:lvl>
    <w:lvl w:ilvl="6" w:tplc="19619302" w:tentative="1">
      <w:start w:val="1"/>
      <w:numFmt w:val="decimal"/>
      <w:lvlText w:val="%7."/>
      <w:lvlJc w:val="left"/>
      <w:pPr>
        <w:ind w:left="5040" w:hanging="360"/>
      </w:pPr>
    </w:lvl>
    <w:lvl w:ilvl="7" w:tplc="19619302" w:tentative="1">
      <w:start w:val="1"/>
      <w:numFmt w:val="lowerLetter"/>
      <w:lvlText w:val="%8."/>
      <w:lvlJc w:val="left"/>
      <w:pPr>
        <w:ind w:left="5760" w:hanging="360"/>
      </w:pPr>
    </w:lvl>
    <w:lvl w:ilvl="8" w:tplc="19619302" w:tentative="1">
      <w:start w:val="1"/>
      <w:numFmt w:val="lowerRoman"/>
      <w:lvlText w:val="%9."/>
      <w:lvlJc w:val="right"/>
      <w:pPr>
        <w:ind w:left="6480" w:hanging="180"/>
      </w:pPr>
    </w:lvl>
  </w:abstractNum>
  <w:abstractNum w:abstractNumId="80899828">
    <w:multiLevelType w:val="hybridMultilevel"/>
    <w:lvl w:ilvl="0" w:tplc="7210729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0899828">
    <w:abstractNumId w:val="80899828"/>
  </w:num>
  <w:num w:numId="80899829">
    <w:abstractNumId w:val="808998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301253178"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