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Phytophthora (1PHYTG)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Phytophthora spp.</w:t>
      </w:r>
      <w:r>
        <w:rPr>
          <w:color w:val="000000"/>
          <w:sz w:val="24"/>
          <w:szCs w:val="24"/>
          <w:u w:val="single"/>
        </w:rPr>
        <w:br/>
        <w:t xml:space="preserve">Pest category:</w:t>
      </w:r>
      <w:r>
        <w:rPr>
          <w:color w:val="000000"/>
          <w:sz w:val="24"/>
          <w:szCs w:val="24"/>
        </w:rPr>
        <w:t xml:space="preserve">
</w:t>
      </w:r>
      <w:r>
        <w:rPr>
          <w:color w:val="0200C9"/>
          <w:sz w:val="24"/>
          <w:szCs w:val="24"/>
        </w:rPr>
        <w:t xml:space="preserve">Chromista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When replying to the RNQP Questionnaire, for the Vegetable reproductive and planting material (excluding seeds) Sector, no EU Member State identified this entry as important and justified to keep Phytophthora listed at a higher level than the species level. No EU Member State proposed to replace this entry by pests listed at the Species level.</w:t>
      </w:r>
      <w:r>
        <w:rPr>
          <w:color w:val="0200C9"/>
          <w:sz w:val="24"/>
          <w:szCs w:val="24"/>
        </w:rPr>
        <w:br/>
        <w:t xml:space="preserve">For the Ornamental sector, DE justified a listing of Phytophthora on Euphorbia pulcherrima considering that 'Several species of pests are important and cause similar damage and have an unacceptable economic impact. Listing at this level allows decision on visual inspection instead on sampling and testing/identification'. FR also identified this entry as important.</w:t>
      </w:r>
      <w:r>
        <w:rPr>
          <w:color w:val="0200C9"/>
          <w:sz w:val="24"/>
          <w:szCs w:val="24"/>
        </w:rPr>
        <w:br/>
        <w:t xml:space="preserve">There are a number of Phytophthora species on Begonia x hiemalis (e.g. P. niederhauseri, P. cryptogea). Phytophthora spp. causes the main diseases of citrus. The most important are Phytophthora nicotiana var. parasitica and Phytophthora citrophthora causing a foot rot and gummosis on the main roots, root collar stem base and fruits. Crown rot and collar rot of apple are caused by several Phytophthora species, of which P. cactorum and P. syringae are the most important. The pathogens may also infect pear, but rarely cause problems in this crop. There are also a number of Phytophthora species on Euphorbia pulcherrima (e.g. P. nicotianae, P. cryptogea, P. nicotianae).</w:t>
      </w:r>
      <w:r>
        <w:rPr>
          <w:color w:val="0200C9"/>
          <w:sz w:val="24"/>
          <w:szCs w:val="24"/>
        </w:rPr>
        <w:br/>
        <w:t xml:space="preserve">In the last twenty years climatic changes, like flooding or temperature increase, favour the spread and the settlement of the Phytophthora species. All species are plant pathogens that attack various parts of the plant including roots, crowns, stems, buds, flowers, fruits and leaves. Phytophthora species have an high evolutionary potential for environment adaptability: among others it is becoming increasingly evident that natural interspecific hybridization is a casual event in heterothallic Phytophthora evolution which could lead to an increase of virulence. Ornamentals in nurseries represent a high risk for the spread of Phytophthora potentially resulting in outbreaks of root diseases in home gardens, orchards, wild flower farms and natural ecosystems. P. cactorum, P. cinnamomi, P. cryptogea, P. drechsleri, P. nicotianae, P. palmivora, P. citrophthora, and P. citricola are the major species that causes severe damage in nurseries and can attack a wide range of plant species (&gt; 3500). Moreover, for the generic detection and identification of these oomicetes different molecular techniques are available. Hystorically ITS region have been used but more recently methods based on the ras/related protein Ypt1 gene have been set up (Schena et al., 2006: Schena et al. 2008). In particular Schena et al. 2008 have developed a ‘molecular tool box’ for the identification of a number of Phytophthora species; the method is specific for the genus and sensitive enough to detect target species in infected leaves and infested soil and water samples. Experts concluded that Phytophthora are difficult to distinguish visually in the field/glasshouse and therefore it would seem practical to include the whole genera Phytophthora spp.</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pest is worldwide in distribution.</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Pyrus (1PYUG)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Crown rot and collar rot of apple are caused by several Phytophthora species, of which P. cactorum and P. syringae are the most important. The pathogens may also infect pear, but rarely cause problems in this crop. All Phytophthora species that attack pear are soil-borne and once introduced they persist as mycelia or oospores in organic debris or soil. Other inoculum sources are fallen fruits and leaves.</w:t>
      </w:r>
      <w:r>
        <w:rPr>
          <w:color w:val="0200C9"/>
          <w:sz w:val="24"/>
          <w:szCs w:val="24"/>
        </w:rPr>
        <w:br/>
        <w:t xml:space="preserve">Plants for planting for ornamental use are a pathway, however for outside plantings because of the wide host range, likely distribution of suitable host plants and longevity of inoculum sources in the environment, planting material (transplants) are not considered to be a significant pathway for introduction under outdoor conditions.</w:t>
      </w:r>
      <w:r>
        <w:rPr>
          <w:color w:val="0200C9"/>
          <w:sz w:val="24"/>
          <w:szCs w:val="24"/>
        </w:rPr>
        <w:br/>
        <w:t xml:space="preserve">Transplants produced under at-risk situations could, however, be considered a significant pathway if the intended ornamental use was for a protected facility or indoor use that used uninfested soil media and had been thoroughly cleaned of potential infection sources before use.</w:t>
      </w:r>
      <w:r>
        <w:rPr>
          <w:color w:val="0200C9"/>
          <w:sz w:val="24"/>
          <w:szCs w:val="24"/>
        </w:rPr>
        <w:br/>
        <w:t xml:space="preserve">Both species (under Phytophthora spp.) are included in the EPPO PM 4 Standard for Pyrus which covers all Pyrus species and is applicable also to ornamental species or varieties.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The pathogens may also infect pear, but rarely cause problems in this crop (EPPO, 1999).</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Not recommended for listing as an RNQP: This pest/host/intended use combination meets all the criteria for RNQP status. There is a case for considering Phytophthora generally together (except very specific pathogens like P. Fragariae), but environment is also a major source of infection unless environmental factors are strongly controlled (e.g. sterilized growing medium and irrigation water). However the requirement for absence of visual symptoms on the traded material (current general 'Substantially free from' requirement in the EU) is considered to be sufficient.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EPPO (1999) PP 2/18(1) Good plant protection practice. Pome fruits. Bulletin OEPP/EPPO Bulletin 29, 379–406;</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8174251">
    <w:multiLevelType w:val="hybridMultilevel"/>
    <w:lvl w:ilvl="0" w:tplc="20020154">
      <w:start w:val="1"/>
      <w:numFmt w:val="decimal"/>
      <w:lvlText w:val="%1."/>
      <w:lvlJc w:val="left"/>
      <w:pPr>
        <w:ind w:left="720" w:hanging="360"/>
      </w:pPr>
    </w:lvl>
    <w:lvl w:ilvl="1" w:tplc="20020154" w:tentative="1">
      <w:start w:val="1"/>
      <w:numFmt w:val="lowerLetter"/>
      <w:lvlText w:val="%2."/>
      <w:lvlJc w:val="left"/>
      <w:pPr>
        <w:ind w:left="1440" w:hanging="360"/>
      </w:pPr>
    </w:lvl>
    <w:lvl w:ilvl="2" w:tplc="20020154" w:tentative="1">
      <w:start w:val="1"/>
      <w:numFmt w:val="lowerRoman"/>
      <w:lvlText w:val="%3."/>
      <w:lvlJc w:val="right"/>
      <w:pPr>
        <w:ind w:left="2160" w:hanging="180"/>
      </w:pPr>
    </w:lvl>
    <w:lvl w:ilvl="3" w:tplc="20020154" w:tentative="1">
      <w:start w:val="1"/>
      <w:numFmt w:val="decimal"/>
      <w:lvlText w:val="%4."/>
      <w:lvlJc w:val="left"/>
      <w:pPr>
        <w:ind w:left="2880" w:hanging="360"/>
      </w:pPr>
    </w:lvl>
    <w:lvl w:ilvl="4" w:tplc="20020154" w:tentative="1">
      <w:start w:val="1"/>
      <w:numFmt w:val="lowerLetter"/>
      <w:lvlText w:val="%5."/>
      <w:lvlJc w:val="left"/>
      <w:pPr>
        <w:ind w:left="3600" w:hanging="360"/>
      </w:pPr>
    </w:lvl>
    <w:lvl w:ilvl="5" w:tplc="20020154" w:tentative="1">
      <w:start w:val="1"/>
      <w:numFmt w:val="lowerRoman"/>
      <w:lvlText w:val="%6."/>
      <w:lvlJc w:val="right"/>
      <w:pPr>
        <w:ind w:left="4320" w:hanging="180"/>
      </w:pPr>
    </w:lvl>
    <w:lvl w:ilvl="6" w:tplc="20020154" w:tentative="1">
      <w:start w:val="1"/>
      <w:numFmt w:val="decimal"/>
      <w:lvlText w:val="%7."/>
      <w:lvlJc w:val="left"/>
      <w:pPr>
        <w:ind w:left="5040" w:hanging="360"/>
      </w:pPr>
    </w:lvl>
    <w:lvl w:ilvl="7" w:tplc="20020154" w:tentative="1">
      <w:start w:val="1"/>
      <w:numFmt w:val="lowerLetter"/>
      <w:lvlText w:val="%8."/>
      <w:lvlJc w:val="left"/>
      <w:pPr>
        <w:ind w:left="5760" w:hanging="360"/>
      </w:pPr>
    </w:lvl>
    <w:lvl w:ilvl="8" w:tplc="20020154" w:tentative="1">
      <w:start w:val="1"/>
      <w:numFmt w:val="lowerRoman"/>
      <w:lvlText w:val="%9."/>
      <w:lvlJc w:val="right"/>
      <w:pPr>
        <w:ind w:left="6480" w:hanging="180"/>
      </w:pPr>
    </w:lvl>
  </w:abstractNum>
  <w:abstractNum w:abstractNumId="48174250">
    <w:multiLevelType w:val="hybridMultilevel"/>
    <w:lvl w:ilvl="0" w:tplc="226017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8174250">
    <w:abstractNumId w:val="48174250"/>
  </w:num>
  <w:num w:numId="48174251">
    <w:abstractNumId w:val="4817425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55087218"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