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Vegetable reproductive and planting material (excluding seeds) Sector, no EU Member State identified this entry as important and justified to keep Phytophthora listed at a higher level than the species level. No EU Member State proposed to replace this entry by pests listed at the Species level.</w:t>
      </w:r>
      <w:r>
        <w:rPr>
          <w:color w:val="0200C9"/>
          <w:sz w:val="24"/>
          <w:szCs w:val="24"/>
        </w:rPr>
        <w:br/>
        <w:t xml:space="preserve">For the Ornamental sector, DE justified a listing of Phytophthora on Euphorbia pulcherrima considering that 'Several species of pests are important and cause similar damage and have an unacceptable economic impact. Listing at this level allows decision on visual inspection instead on sampling and testing/identification'. FR also identified this entry as important.</w:t>
      </w:r>
      <w:r>
        <w:rPr>
          <w:color w:val="0200C9"/>
          <w:sz w:val="24"/>
          <w:szCs w:val="24"/>
        </w:rPr>
        <w:br/>
        <w:t xml:space="preserve">There are a number of Phytophthora species on Begonia x hiemalis (e.g. P. niederhauseri, P. cryptogea). Phytophthora spp. causes the main diseases of citrus. The most important are Phytophthora nicotiana var. parasitica and Phytophthora citrophthora causing a foot rot and gummosis on the main roots, root collar stem base and fruits. Crown rot and collar rot of apple are caused by several Phytophthora species, of which P. cactorum and P. syringae are the most important. The pathogens may also infect pear, but rarely cause problems in this crop. There are also a number of Phytophthora species on Euphorbia pulcherrima (e.g. P. nicotianae, P. cryptogea, P. nicotianae).</w:t>
      </w:r>
      <w:r>
        <w:rPr>
          <w:color w:val="0200C9"/>
          <w:sz w:val="24"/>
          <w:szCs w:val="24"/>
        </w:rPr>
        <w:b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an high evolutionary potential for environment adaptability: among others it is becoming increasingly evident that natural interspecific hybridization is a casual event in heterothallic Phytophthora evolution which could lead to an increase of virulence. Ornamentals in nurseries represent a high risk for the spread of Phytophthora potentially resulting in outbreaks of root diseases in home gardens, orchards, wild flower farms and natural ecosystems. P. cactorum, P. cinnamomi, P. cryptogea, P. drechsleri, P. nicotianae, P. palmivora, P. citrophthora, and P. citricola are the major species that causes severe damage in nurseries and can attack a wide range of plant species (&gt; 3500). Moreover, for the generic detection and identification of these oomicetes different molecular techniques are available. Hystorically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 Experts concluded that Phytophthora are difficult to distinguish visually in the field/glasshouse and therefore it would seem practical to include the whole genera Phytophthora spp.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pathogens (most important are Phytophthora nicotiana var. parasitica and Phytophthora citrophthora) can survive saprophytically in the soil, as mycelium or chlamydospores on plant remains and decomposing matter, from several months to 1–2 years. Sexual reproductive organs are formed which, without being directly important for infection, favour survival and persistence in the soil (EPPO, 2004). Plants for planting for ornamental use are a pathway, however for outside plantings because of the wide host range, likely distribution of suitable Citrus plants and longevity of inoculum sources in the environment, planting material (transplants) are not considered to be a significant pathway for introduction under outdoor conditions.</w:t>
      </w:r>
      <w:r>
        <w:rPr>
          <w:color w:val="0200C9"/>
          <w:sz w:val="24"/>
          <w:szCs w:val="24"/>
        </w:rPr>
        <w:br/>
        <w:t xml:space="preserve">Transplants produced under at-risk situations could, however, be considered the a significant pathway if the intended ornamental use was for a protected facility or indoor use that used uninfested soil media and had been thoroughly cleaned of potential infection sources before use.</w:t>
      </w:r>
      <w:r>
        <w:rPr>
          <w:color w:val="0200C9"/>
          <w:sz w:val="24"/>
          <w:szCs w:val="24"/>
        </w:rPr>
        <w:br/>
        <w:t xml:space="preserve">Both species are included in the EPPO PM 4 Standard for Citrus which covers all Citrus species and is applicable also to ornamental species or varieties.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causes dehydration and necrosis of the cortical zone of the stem or root collar, leading very quickly to the appearance of symptoms of gummosis or collar rot (EPPO, 2004). The same pathogen species can affect fruits and plants for fruit production, so infected ornamental plants growing in a nursery could have an indirect economic effect by infecting neighbouring plants intended for sale for fruit production.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PP 2/27 (1) Good plant protection practice Citrus. Bulletin OEPP/EPPO Bulletin 34, 43-56;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548300">
    <w:multiLevelType w:val="hybridMultilevel"/>
    <w:lvl w:ilvl="0" w:tplc="17058054">
      <w:start w:val="1"/>
      <w:numFmt w:val="decimal"/>
      <w:lvlText w:val="%1."/>
      <w:lvlJc w:val="left"/>
      <w:pPr>
        <w:ind w:left="720" w:hanging="360"/>
      </w:pPr>
    </w:lvl>
    <w:lvl w:ilvl="1" w:tplc="17058054" w:tentative="1">
      <w:start w:val="1"/>
      <w:numFmt w:val="lowerLetter"/>
      <w:lvlText w:val="%2."/>
      <w:lvlJc w:val="left"/>
      <w:pPr>
        <w:ind w:left="1440" w:hanging="360"/>
      </w:pPr>
    </w:lvl>
    <w:lvl w:ilvl="2" w:tplc="17058054" w:tentative="1">
      <w:start w:val="1"/>
      <w:numFmt w:val="lowerRoman"/>
      <w:lvlText w:val="%3."/>
      <w:lvlJc w:val="right"/>
      <w:pPr>
        <w:ind w:left="2160" w:hanging="180"/>
      </w:pPr>
    </w:lvl>
    <w:lvl w:ilvl="3" w:tplc="17058054" w:tentative="1">
      <w:start w:val="1"/>
      <w:numFmt w:val="decimal"/>
      <w:lvlText w:val="%4."/>
      <w:lvlJc w:val="left"/>
      <w:pPr>
        <w:ind w:left="2880" w:hanging="360"/>
      </w:pPr>
    </w:lvl>
    <w:lvl w:ilvl="4" w:tplc="17058054" w:tentative="1">
      <w:start w:val="1"/>
      <w:numFmt w:val="lowerLetter"/>
      <w:lvlText w:val="%5."/>
      <w:lvlJc w:val="left"/>
      <w:pPr>
        <w:ind w:left="3600" w:hanging="360"/>
      </w:pPr>
    </w:lvl>
    <w:lvl w:ilvl="5" w:tplc="17058054" w:tentative="1">
      <w:start w:val="1"/>
      <w:numFmt w:val="lowerRoman"/>
      <w:lvlText w:val="%6."/>
      <w:lvlJc w:val="right"/>
      <w:pPr>
        <w:ind w:left="4320" w:hanging="180"/>
      </w:pPr>
    </w:lvl>
    <w:lvl w:ilvl="6" w:tplc="17058054" w:tentative="1">
      <w:start w:val="1"/>
      <w:numFmt w:val="decimal"/>
      <w:lvlText w:val="%7."/>
      <w:lvlJc w:val="left"/>
      <w:pPr>
        <w:ind w:left="5040" w:hanging="360"/>
      </w:pPr>
    </w:lvl>
    <w:lvl w:ilvl="7" w:tplc="17058054" w:tentative="1">
      <w:start w:val="1"/>
      <w:numFmt w:val="lowerLetter"/>
      <w:lvlText w:val="%8."/>
      <w:lvlJc w:val="left"/>
      <w:pPr>
        <w:ind w:left="5760" w:hanging="360"/>
      </w:pPr>
    </w:lvl>
    <w:lvl w:ilvl="8" w:tplc="17058054" w:tentative="1">
      <w:start w:val="1"/>
      <w:numFmt w:val="lowerRoman"/>
      <w:lvlText w:val="%9."/>
      <w:lvlJc w:val="right"/>
      <w:pPr>
        <w:ind w:left="6480" w:hanging="180"/>
      </w:pPr>
    </w:lvl>
  </w:abstractNum>
  <w:abstractNum w:abstractNumId="37548299">
    <w:multiLevelType w:val="hybridMultilevel"/>
    <w:lvl w:ilvl="0" w:tplc="262426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548299">
    <w:abstractNumId w:val="37548299"/>
  </w:num>
  <w:num w:numId="37548300">
    <w:abstractNumId w:val="375483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938659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