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0" w:after="0" w:line="240" w:lineRule="auto"/>
        <w:ind w:left="0" w:right="0"/>
        <w:jc w:val="left"/>
        <w:outlineLvl w:val="1"/>
      </w:pPr>
      <w:r>
        <w:rPr>
          <w:color w:val="000000"/>
          <w:sz w:val="24"/>
          <w:szCs w:val="24"/>
        </w:rPr>
        <w:t xml:space="preserve">NAME OF THE ORGANISM: </w:t>
      </w:r>
      <w:r>
        <w:rPr>
          <w:color w:val="861012"/>
          <w:sz w:val="24"/>
          <w:szCs w:val="24"/>
        </w:rPr>
        <w:t xml:space="preserve">Botrytis (anamorphic genus) (1BOTRG)</w:t>
      </w:r>
    </w:p>
    <w:p/>
    <w:p>
      <w:pPr>
        <w:widowControl w:val="on"/>
        <w:pBdr/>
        <w:spacing w:before="0" w:after="0" w:line="240" w:lineRule="auto"/>
        <w:ind w:left="0" w:right="0"/>
        <w:jc w:val="left"/>
        <w:outlineLvl w:val="3"/>
      </w:pPr>
      <w:r>
        <w:rPr>
          <w:color w:val="000000"/>
          <w:sz w:val="24"/>
          <w:szCs w:val="24"/>
        </w:rPr>
        <w:t xml:space="preserve">GENERAL INFORMATION ON THE PEST</w:t>
      </w:r>
    </w:p>
    <w:p>
      <w:pPr>
        <w:widowControl w:val="on"/>
        <w:pBdr/>
        <w:spacing w:before="0" w:after="0" w:line="240" w:lineRule="auto"/>
        <w:ind w:left="0" w:right="0"/>
        <w:jc w:val="left"/>
      </w:pPr>
      <w:r>
        <w:rPr>
          <w:color w:val="000000"/>
          <w:sz w:val="24"/>
          <w:szCs w:val="24"/>
          <w:u w:val="single"/>
        </w:rPr>
        <w:t xml:space="preserve">Name as submitted in the project specification (if different to the preferred name):</w:t>
      </w:r>
      <w:r>
        <w:rPr>
          <w:color w:val="000000"/>
          <w:sz w:val="24"/>
          <w:szCs w:val="24"/>
        </w:rPr>
        <w:t xml:space="preserve">
</w:t>
      </w:r>
      <w:r>
        <w:rPr>
          <w:color w:val="0200C9"/>
          <w:sz w:val="24"/>
          <w:szCs w:val="24"/>
        </w:rPr>
        <w:t xml:space="preserve">Botrytis spp.</w:t>
      </w:r>
      <w:r>
        <w:rPr>
          <w:color w:val="000000"/>
          <w:sz w:val="24"/>
          <w:szCs w:val="24"/>
          <w:u w:val="single"/>
        </w:rPr>
        <w:br/>
        <w:t xml:space="preserve">Pest category:</w:t>
      </w:r>
      <w:r>
        <w:rPr>
          <w:color w:val="000000"/>
          <w:sz w:val="24"/>
          <w:szCs w:val="24"/>
        </w:rPr>
        <w:t xml:space="preserve">
</w:t>
      </w:r>
      <w:r>
        <w:rPr>
          <w:color w:val="0200C9"/>
          <w:sz w:val="24"/>
          <w:szCs w:val="24"/>
        </w:rPr>
        <w:t xml:space="preserve">Fungi</w:t>
      </w:r>
      <w:r>
        <w:rPr>
          <w:b/>
          <w:bCs/>
          <w:color w:val="000000"/>
          <w:sz w:val="24"/>
          <w:szCs w:val="24"/>
          <w:u w:val="single"/>
        </w:rPr>
        <w:br/>
        <w:br/>
        <w:t xml:space="preserve">1- Identity of the pest/Level of taxonomic listing:</w:t>
      </w:r>
      <w:r>
        <w:rPr>
          <w:color w:val="000000"/>
          <w:sz w:val="24"/>
          <w:szCs w:val="24"/>
          <w:u w:val="single"/>
        </w:rPr>
        <w:br/>
        <w:t xml:space="preserve">Is the organism clearly a single taxonomic entity and can it be adequately distinguished from other entities of the same rank?</w:t>
      </w:r>
      <w:r>
        <w:rPr>
          <w:color w:val="000000"/>
          <w:sz w:val="24"/>
          <w:szCs w:val="24"/>
        </w:rPr>
        <w:t xml:space="preserve">
</w:t>
      </w:r>
      <w:r>
        <w:rPr>
          <w:color w:val="F30000"/>
          <w:sz w:val="24"/>
          <w:szCs w:val="24"/>
        </w:rPr>
        <w:t xml:space="preserve">Yes</w:t>
      </w:r>
      <w:r>
        <w:rPr>
          <w:color w:val="000000"/>
          <w:sz w:val="24"/>
          <w:szCs w:val="24"/>
          <w:u w:val="single"/>
        </w:rPr>
        <w:br/>
        <w:t xml:space="preserve">Is the pest defined at the species level or lower?:</w:t>
      </w:r>
      <w:r>
        <w:rPr>
          <w:color w:val="000000"/>
          <w:sz w:val="24"/>
          <w:szCs w:val="24"/>
        </w:rPr>
        <w:t xml:space="preserve">
</w:t>
      </w:r>
      <w:r>
        <w:rPr>
          <w:color w:val="F30000"/>
          <w:sz w:val="24"/>
          <w:szCs w:val="24"/>
        </w:rPr>
        <w:t xml:space="preserve">No</w:t>
      </w:r>
      <w:r>
        <w:rPr>
          <w:color w:val="000000"/>
          <w:sz w:val="24"/>
          <w:szCs w:val="24"/>
          <w:u w:val="single"/>
        </w:rPr>
        <w:br/>
        <w:t xml:space="preserve">Can listing of the pest at a taxonomic level higher than species be supported by scientific reasons or can species be identified within the taxonomic rank which are the (main) pests of concern?</w:t>
      </w:r>
      <w:r>
        <w:rPr>
          <w:color w:val="000000"/>
          <w:sz w:val="24"/>
          <w:szCs w:val="24"/>
        </w:rPr>
        <w:t xml:space="preserve">
</w:t>
      </w:r>
    </w:p>
    <w:p>
      <w:pPr>
        <w:numPr>
          <w:ilvl w:val="0"/>
          <w:numId w:val="1"/>
        </w:numPr>
        <w:spacing w:before="0" w:after="0" w:line="240" w:lineRule="auto"/>
        <w:jc w:val="left"/>
        <w:rPr>
          <w:color w:val="F30000"/>
          <w:sz w:val="24"/>
          <w:szCs w:val="24"/>
        </w:rPr>
      </w:pPr>
      <w:r>
        <w:rPr>
          <w:color w:val="F30000"/>
          <w:sz w:val="24"/>
          <w:szCs w:val="24"/>
        </w:rPr>
        <w:t xml:space="preserve">No: Ornamental sector</w:t>
      </w:r>
    </w:p>
    <w:p>
      <w:pPr>
        <w:widowControl w:val="on"/>
        <w:pBdr/>
        <w:spacing w:before="0" w:after="0" w:line="240" w:lineRule="auto"/>
        <w:ind w:left="0" w:right="0"/>
        <w:jc w:val="left"/>
      </w:pPr>
      <w:r>
        <w:rPr>
          <w:color w:val="000000"/>
          <w:sz w:val="24"/>
          <w:szCs w:val="24"/>
          <w:u w:val="single"/>
        </w:rPr>
        <w:t xml:space="preserve">Is it justified that the pest is listed at a taxonomic rank below species level?</w:t>
      </w:r>
      <w:r>
        <w:rPr>
          <w:color w:val="000000"/>
          <w:sz w:val="24"/>
          <w:szCs w:val="24"/>
        </w:rPr>
        <w:t xml:space="preserve">
</w:t>
      </w:r>
      <w:r>
        <w:rPr>
          <w:color w:val="F30000"/>
          <w:sz w:val="24"/>
          <w:szCs w:val="24"/>
        </w:rPr>
        <w:t xml:space="preserve">Not relevant</w:t>
      </w:r>
      <w:r>
        <w:rPr>
          <w:color w:val="000000"/>
          <w:sz w:val="24"/>
          <w:szCs w:val="24"/>
          <w:u w:val="single"/>
        </w:rPr>
        <w:br/>
        <w:t xml:space="preserve">Conclusion:</w:t>
      </w:r>
      <w:r>
        <w:rPr>
          <w:color w:val="000000"/>
          <w:sz w:val="24"/>
          <w:szCs w:val="24"/>
        </w:rPr>
        <w:t xml:space="preserve">
</w:t>
      </w:r>
    </w:p>
    <w:p>
      <w:pPr>
        <w:numPr>
          <w:ilvl w:val="0"/>
          <w:numId w:val="1"/>
        </w:numPr>
        <w:spacing w:before="0" w:after="0" w:line="240" w:lineRule="auto"/>
        <w:jc w:val="left"/>
        <w:rPr>
          <w:color w:val="F30000"/>
          <w:sz w:val="24"/>
          <w:szCs w:val="24"/>
        </w:rPr>
      </w:pPr>
      <w:r>
        <w:rPr>
          <w:color w:val="F30000"/>
          <w:sz w:val="24"/>
          <w:szCs w:val="24"/>
        </w:rPr>
        <w:t xml:space="preserve">Not candidate: Ornamental sector</w:t>
      </w:r>
    </w:p>
    <w:p>
      <w:pPr>
        <w:widowControl w:val="on"/>
        <w:pBdr/>
        <w:spacing w:before="0" w:after="0" w:line="240" w:lineRule="auto"/>
        <w:ind w:left="0" w:right="0"/>
        <w:jc w:val="left"/>
      </w:pPr>
      <w:r>
        <w:rPr>
          <w:color w:val="000000"/>
          <w:sz w:val="24"/>
          <w:szCs w:val="24"/>
          <w:u w:val="single"/>
        </w:rPr>
        <w:t xml:space="preserve">Justification (if necessary):</w:t>
      </w:r>
      <w:r>
        <w:rPr>
          <w:color w:val="000000"/>
          <w:sz w:val="24"/>
          <w:szCs w:val="24"/>
        </w:rPr>
        <w:t xml:space="preserve">
</w:t>
      </w:r>
      <w:r>
        <w:rPr>
          <w:color w:val="F30000"/>
          <w:sz w:val="24"/>
          <w:szCs w:val="24"/>
        </w:rPr>
        <w:t xml:space="preserve">In the RNQP Questionnaire, for the 'Oil and Fibre plant' Sector, no EU MS justified a listing at a higher level than the species level. Some EU MS proposed to only list Botrytis cinerea on Helianthus annuus (HR), on Linum usitatissimum (HR, CZ) and on Cannabis sativa (HR). AT and CZ proposed to also add a new host plant for Botrytis: Carthamus tinctorius. DE made a general comment arguing that several species of the listed fungi for the Oil and Fibre Sector can cause damage. The SEWG considered that the listing should be done at the species level, in view of the specificity of the pest/host combinations. In absence of evidence or data for C. tinctorius, the listing of Botrytis cinerea on safflower is not recommended for RNQP by the SEWG. Evaluation continues for Botryotinia fuckeliana [Botrytis cinerea] on Cannabis sativa, Helianthus annuus and Linum usitatissimum.</w:t>
      </w:r>
      <w:r>
        <w:rPr>
          <w:color w:val="F30000"/>
          <w:sz w:val="24"/>
          <w:szCs w:val="24"/>
        </w:rPr>
        <w:br/>
        <w:t xml:space="preserve">For the 'Vegetable propagating and planting material (other than seeds) sector', FR supported a listing at the genus level, to cover Botrytis cinarea, B. squamosa, and B. allii on Allium cepa Aggregatum types and A. cepa. However the SEWG considered that a listing at the genus level cannot be justified. They decided to continue the evaluation more specifically for Botryotinia fuckeliana, Botryotinia squamosal and Botrytis allii on Allium cepa Aggregatum types and A. cepa.</w:t>
      </w:r>
      <w:r>
        <w:rPr>
          <w:color w:val="F30000"/>
          <w:sz w:val="24"/>
          <w:szCs w:val="24"/>
        </w:rPr>
        <w:br/>
        <w:t xml:space="preserve">For the 'Ornamental Sector', no EU Member State identified this entry as important and justified to keep this entry listed at a higher level than the species level. No EU Member State proposed to replace this entry by pests listed at the species level.</w:t>
      </w:r>
    </w:p>
    <w:p>
      <w:pPr>
        <w:widowControl w:val="on"/>
        <w:pBdr/>
        <w:spacing w:before="0" w:after="0" w:line="240" w:lineRule="auto"/>
        <w:ind w:left="0" w:right="0"/>
        <w:jc w:val="left"/>
        <w:outlineLvl w:val="2"/>
      </w:pPr>
      <w:r>
        <w:rPr>
          <w:color w:val="000000"/>
          <w:sz w:val="24"/>
          <w:szCs w:val="24"/>
        </w:rPr>
        <w:br/>
        <w:t xml:space="preserve">HOST PLANT N°1: </w:t>
      </w:r>
      <w:r>
        <w:rPr>
          <w:color w:val="149613"/>
          <w:sz w:val="24"/>
          <w:szCs w:val="24"/>
        </w:rPr>
        <w:t xml:space="preserve">Pelargonium (1PELG)</w:t>
      </w:r>
      <w:r>
        <w:rPr>
          <w:color w:val="000000"/>
          <w:sz w:val="24"/>
          <w:szCs w:val="24"/>
        </w:rPr>
        <w:t xml:space="preserve"> for the Ornamental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Commission Directive 93/49/EEC</w:t>
      </w:r>
      <w:r>
        <w:rPr>
          <w:color w:val="000000"/>
          <w:sz w:val="24"/>
          <w:szCs w:val="24"/>
          <w:u w:val="single"/>
        </w:rPr>
        <w:br/>
        <w:t xml:space="preserve">Plants for planting:</w:t>
      </w:r>
      <w:r>
        <w:rPr>
          <w:color w:val="000000"/>
          <w:sz w:val="24"/>
          <w:szCs w:val="24"/>
        </w:rPr>
        <w:t xml:space="preserve">
</w:t>
      </w:r>
      <w:r>
        <w:rPr>
          <w:color w:val="0200C9"/>
          <w:sz w:val="24"/>
          <w:szCs w:val="24"/>
        </w:rPr>
        <w:t xml:space="preserve">Plants intended for planting</w:t>
      </w:r>
      <w:r>
        <w:rPr>
          <w:b/>
          <w:bCs/>
          <w:color w:val="000000"/>
          <w:sz w:val="24"/>
          <w:szCs w:val="24"/>
          <w:u w:val="single"/>
        </w:rPr>
        <w:br/>
        <w:br/>
        <w:br/>
        <w:t xml:space="preserve">CONCLUSION ON THE STATUS:</w:t>
      </w:r>
      <w:r>
        <w:rPr>
          <w:color w:val="000000"/>
          <w:sz w:val="24"/>
          <w:szCs w:val="24"/>
        </w:rPr>
        <w:t xml:space="preserve">
</w:t>
      </w:r>
      <w:r>
        <w:rPr>
          <w:color w:val="0200C9"/>
          <w:sz w:val="24"/>
          <w:szCs w:val="24"/>
        </w:rPr>
        <w:t xml:space="preserve">Disqualified: No EU Member State considered this entry as important in the answers to the RNQP Questionnaire and gave justification(s) for a listing at a higher level than the species level. This entry will be covered by the 'Substantially free from' requirement that will remain in the Ornamental EU Marketing Directives.</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Delisting.</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No</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Delisting.</w:t>
      </w:r>
      <w:r>
        <w:rPr>
          <w:b/>
          <w:bCs/>
          <w:color w:val="000000"/>
          <w:sz w:val="24"/>
          <w:szCs w:val="24"/>
          <w:u w:val="single"/>
        </w:rPr>
        <w:br/>
        <w:br/>
        <w:t xml:space="preserve">REFERENCES:</w:t>
      </w:r>
    </w:p>
    <w:sectPr xmlns:w="http://schemas.openxmlformats.org/wordprocessingml/2006/main" w:rsidR="00AC197E" w:rsidRPr="00DF064E" w:rsidSect="000F6147">
      <w:pgSz w:w="11906" w:h="16838" w:orient="portrait" w:code="9"/>
      <w:pgMar w:top="10mm" w:right="10mm" w:bottom="10mm" w:left="10mm"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9220883">
    <w:multiLevelType w:val="hybridMultilevel"/>
    <w:lvl w:ilvl="0" w:tplc="61856467">
      <w:start w:val="1"/>
      <w:numFmt w:val="decimal"/>
      <w:lvlText w:val="%1."/>
      <w:lvlJc w:val="left"/>
      <w:pPr>
        <w:ind w:left="720" w:hanging="360"/>
      </w:pPr>
    </w:lvl>
    <w:lvl w:ilvl="1" w:tplc="61856467" w:tentative="1">
      <w:start w:val="1"/>
      <w:numFmt w:val="lowerLetter"/>
      <w:lvlText w:val="%2."/>
      <w:lvlJc w:val="left"/>
      <w:pPr>
        <w:ind w:left="1440" w:hanging="360"/>
      </w:pPr>
    </w:lvl>
    <w:lvl w:ilvl="2" w:tplc="61856467" w:tentative="1">
      <w:start w:val="1"/>
      <w:numFmt w:val="lowerRoman"/>
      <w:lvlText w:val="%3."/>
      <w:lvlJc w:val="right"/>
      <w:pPr>
        <w:ind w:left="2160" w:hanging="180"/>
      </w:pPr>
    </w:lvl>
    <w:lvl w:ilvl="3" w:tplc="61856467" w:tentative="1">
      <w:start w:val="1"/>
      <w:numFmt w:val="decimal"/>
      <w:lvlText w:val="%4."/>
      <w:lvlJc w:val="left"/>
      <w:pPr>
        <w:ind w:left="2880" w:hanging="360"/>
      </w:pPr>
    </w:lvl>
    <w:lvl w:ilvl="4" w:tplc="61856467" w:tentative="1">
      <w:start w:val="1"/>
      <w:numFmt w:val="lowerLetter"/>
      <w:lvlText w:val="%5."/>
      <w:lvlJc w:val="left"/>
      <w:pPr>
        <w:ind w:left="3600" w:hanging="360"/>
      </w:pPr>
    </w:lvl>
    <w:lvl w:ilvl="5" w:tplc="61856467" w:tentative="1">
      <w:start w:val="1"/>
      <w:numFmt w:val="lowerRoman"/>
      <w:lvlText w:val="%6."/>
      <w:lvlJc w:val="right"/>
      <w:pPr>
        <w:ind w:left="4320" w:hanging="180"/>
      </w:pPr>
    </w:lvl>
    <w:lvl w:ilvl="6" w:tplc="61856467" w:tentative="1">
      <w:start w:val="1"/>
      <w:numFmt w:val="decimal"/>
      <w:lvlText w:val="%7."/>
      <w:lvlJc w:val="left"/>
      <w:pPr>
        <w:ind w:left="5040" w:hanging="360"/>
      </w:pPr>
    </w:lvl>
    <w:lvl w:ilvl="7" w:tplc="61856467" w:tentative="1">
      <w:start w:val="1"/>
      <w:numFmt w:val="lowerLetter"/>
      <w:lvlText w:val="%8."/>
      <w:lvlJc w:val="left"/>
      <w:pPr>
        <w:ind w:left="5760" w:hanging="360"/>
      </w:pPr>
    </w:lvl>
    <w:lvl w:ilvl="8" w:tplc="61856467" w:tentative="1">
      <w:start w:val="1"/>
      <w:numFmt w:val="lowerRoman"/>
      <w:lvlText w:val="%9."/>
      <w:lvlJc w:val="right"/>
      <w:pPr>
        <w:ind w:left="6480" w:hanging="180"/>
      </w:pPr>
    </w:lvl>
  </w:abstractNum>
  <w:abstractNum w:abstractNumId="79220882">
    <w:multiLevelType w:val="hybridMultilevel"/>
    <w:lvl w:ilvl="0" w:tplc="2661660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79220882">
    <w:abstractNumId w:val="79220882"/>
  </w:num>
  <w:num w:numId="79220883">
    <w:abstractNumId w:val="7922088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898648344" Type="http://schemas.microsoft.com/office/2011/relationships/commentsExtended" Target="commentsExtended.xm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