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49066222e4b70ca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infestations (e.g. TSWV), specific risk management measures on F. occidentalis may be directly proposed in the appropriate EU Marketing Directive. Experts recommended that this pest/host combination should be covered in the future by the 'substantially free from' requirement that will stay in the EU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264166222e4b70f3f"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753931">
    <w:multiLevelType w:val="hybridMultilevel"/>
    <w:lvl w:ilvl="0" w:tplc="23094138">
      <w:start w:val="1"/>
      <w:numFmt w:val="decimal"/>
      <w:lvlText w:val="%1."/>
      <w:lvlJc w:val="left"/>
      <w:pPr>
        <w:ind w:left="720" w:hanging="360"/>
      </w:pPr>
    </w:lvl>
    <w:lvl w:ilvl="1" w:tplc="23094138" w:tentative="1">
      <w:start w:val="1"/>
      <w:numFmt w:val="lowerLetter"/>
      <w:lvlText w:val="%2."/>
      <w:lvlJc w:val="left"/>
      <w:pPr>
        <w:ind w:left="1440" w:hanging="360"/>
      </w:pPr>
    </w:lvl>
    <w:lvl w:ilvl="2" w:tplc="23094138" w:tentative="1">
      <w:start w:val="1"/>
      <w:numFmt w:val="lowerRoman"/>
      <w:lvlText w:val="%3."/>
      <w:lvlJc w:val="right"/>
      <w:pPr>
        <w:ind w:left="2160" w:hanging="180"/>
      </w:pPr>
    </w:lvl>
    <w:lvl w:ilvl="3" w:tplc="23094138" w:tentative="1">
      <w:start w:val="1"/>
      <w:numFmt w:val="decimal"/>
      <w:lvlText w:val="%4."/>
      <w:lvlJc w:val="left"/>
      <w:pPr>
        <w:ind w:left="2880" w:hanging="360"/>
      </w:pPr>
    </w:lvl>
    <w:lvl w:ilvl="4" w:tplc="23094138" w:tentative="1">
      <w:start w:val="1"/>
      <w:numFmt w:val="lowerLetter"/>
      <w:lvlText w:val="%5."/>
      <w:lvlJc w:val="left"/>
      <w:pPr>
        <w:ind w:left="3600" w:hanging="360"/>
      </w:pPr>
    </w:lvl>
    <w:lvl w:ilvl="5" w:tplc="23094138" w:tentative="1">
      <w:start w:val="1"/>
      <w:numFmt w:val="lowerRoman"/>
      <w:lvlText w:val="%6."/>
      <w:lvlJc w:val="right"/>
      <w:pPr>
        <w:ind w:left="4320" w:hanging="180"/>
      </w:pPr>
    </w:lvl>
    <w:lvl w:ilvl="6" w:tplc="23094138" w:tentative="1">
      <w:start w:val="1"/>
      <w:numFmt w:val="decimal"/>
      <w:lvlText w:val="%7."/>
      <w:lvlJc w:val="left"/>
      <w:pPr>
        <w:ind w:left="5040" w:hanging="360"/>
      </w:pPr>
    </w:lvl>
    <w:lvl w:ilvl="7" w:tplc="23094138" w:tentative="1">
      <w:start w:val="1"/>
      <w:numFmt w:val="lowerLetter"/>
      <w:lvlText w:val="%8."/>
      <w:lvlJc w:val="left"/>
      <w:pPr>
        <w:ind w:left="5760" w:hanging="360"/>
      </w:pPr>
    </w:lvl>
    <w:lvl w:ilvl="8" w:tplc="23094138" w:tentative="1">
      <w:start w:val="1"/>
      <w:numFmt w:val="lowerRoman"/>
      <w:lvlText w:val="%9."/>
      <w:lvlJc w:val="right"/>
      <w:pPr>
        <w:ind w:left="6480" w:hanging="180"/>
      </w:pPr>
    </w:lvl>
  </w:abstractNum>
  <w:abstractNum w:abstractNumId="95753930">
    <w:multiLevelType w:val="hybridMultilevel"/>
    <w:lvl w:ilvl="0" w:tplc="923000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753930">
    <w:abstractNumId w:val="95753930"/>
  </w:num>
  <w:num w:numId="95753931">
    <w:abstractNumId w:val="957539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1826247" Type="http://schemas.microsoft.com/office/2011/relationships/commentsExtended" Target="commentsExtended.xml"/><Relationship Id="rId949066222e4b70ca2" Type="http://schemas.openxmlformats.org/officeDocument/2006/relationships/hyperlink" Target="https://gd.eppo.int/" TargetMode="External"/><Relationship Id="rId264166222e4b70f3f"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