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Pratylenchus penetrans PRATPE</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00000"/>
          <w:sz w:val="24"/>
          <w:szCs w:val="24"/>
          <w:u w:val="single"/>
        </w:rPr>
        <w:br/>
        <w:t xml:space="preserve">Pest category:</w:t>
      </w:r>
      <w:r>
        <w:rPr>
          <w:color w:val="000000"/>
          <w:sz w:val="24"/>
          <w:szCs w:val="24"/>
        </w:rPr>
        <w:t xml:space="preserve">
</w:t>
      </w:r>
      <w:r>
        <w:rPr>
          <w:color w:val="0200C9"/>
          <w:sz w:val="24"/>
          <w:szCs w:val="24"/>
        </w:rPr>
        <w:t xml:space="preserve">Nematoda</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relevant: Ornamental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Ornamental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200C9"/>
          <w:sz w:val="24"/>
          <w:szCs w:val="24"/>
        </w:rPr>
        <w:t xml:space="preserve">Belgium (2003); Bulgaria (2003); Cyprus (2011); Czech Republic (2003); Denmark (2003); Estonia (2003); France (2003); Germany (2003); Greece (2003); Hungary (2003); Italy (2003); Netherlands (2003); Poland (2012); Portugal (2003); Romania (2003); Slovakia (2003); Spain (2003); Sweden (2003); United Kingdom (2003)</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Data of the presence of this pest on the EU territory are available in EPPO Global Database (</w:t>
      </w:r>
      <w:hyperlink r:id="rId84436aabbc5dd104d" w:history="1">
        <w:r>
          <w:rPr>
            <w:color w:val="0200C9"/>
            <w:sz w:val="24"/>
            <w:szCs w:val="24"/>
          </w:rPr>
          <w:t xml:space="preserve">https://gd.eppo.int/</w:t>
        </w:r>
      </w:hyperlink>
      <w:r>
        <w:rPr>
          <w:color w:val="0200C9"/>
          <w:sz w:val="24"/>
          <w:szCs w:val="24"/>
        </w:rPr>
        <w:t xml:space="preserve">).</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Lilium (1LILG)</w:t>
      </w:r>
      <w:r>
        <w:rPr>
          <w:color w:val="000000"/>
          <w:sz w:val="24"/>
          <w:szCs w:val="24"/>
        </w:rPr>
        <w:t xml:space="preserve"> for the Ornamental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Commission Directive 93/49/EEC</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0200C9"/>
          <w:sz w:val="24"/>
          <w:szCs w:val="24"/>
        </w:rPr>
        <w:t xml:space="preserve">Pratylenchus species are commonly known as lesion nematodes causing root lesions on many host plants in temperate regions. They feed and reproduce in the root and move through the soil and usually only feed on the cortex of the root. Plants from bulbs are not normally transplanted, so bulbs contaminated with infested soil or dried roots are a pathway and would be a significant pathway if planted into uninfested soil or growing media.</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200C9"/>
          <w:sz w:val="24"/>
          <w:szCs w:val="24"/>
        </w:rPr>
        <w:t xml:space="preserve">Yes</w:t>
      </w:r>
      <w:r>
        <w:rPr>
          <w:color w:val="000000"/>
          <w:sz w:val="24"/>
          <w:szCs w:val="24"/>
          <w:u w:val="single"/>
        </w:rPr>
        <w:br/>
        <w:t xml:space="preserve">Justification:</w:t>
      </w:r>
      <w:r>
        <w:rPr>
          <w:color w:val="000000"/>
          <w:sz w:val="24"/>
          <w:szCs w:val="24"/>
        </w:rPr>
        <w:t xml:space="preserve">
</w:t>
      </w:r>
      <w:r>
        <w:rPr>
          <w:color w:val="0200C9"/>
          <w:sz w:val="24"/>
          <w:szCs w:val="24"/>
        </w:rPr>
        <w:t xml:space="preserve">Lilium species are a great economic importance as cut flowers or sales of bulbs, being one of the most valuable species and the root lesion nematode Pratylenchus penetrans constitutes one of the main pests for lily producers due to the significant root damage it causes (Vieira et al, 2015).</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200C9"/>
          <w:sz w:val="24"/>
          <w:szCs w:val="24"/>
        </w:rPr>
        <w:t xml:space="preserve">No</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color w:val="0200C9"/>
          <w:sz w:val="24"/>
          <w:szCs w:val="24"/>
        </w:rPr>
        <w:t xml:space="preserve">Oxamyl is a carbamate with contact and systemic activity; it has been shown to be an effective nematicide against many species of Pratylenchus in several production systems including easter lily (Westerdahl et al., 2003).</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Not recommended for listing as an RNQP: This pest/host/intended use combination meets all the criteria for RNQP status. However, the requirement for absence of visual symptoms on the traded material (current general 'Substantially free from' requirement in the EU) was considered to be sufficient.</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Vieira P, Wantoch S, Lilley CJ, Chitwood DJ, Atkinson HJ &amp; Kamo K (2015) Expression of a cystatin transgene can confer resistance to root lesion nematodes in Lilium longiflorum cv. 'Nellie White'. Transgenic Research 24, 421-432;</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5806203">
    <w:multiLevelType w:val="hybridMultilevel"/>
    <w:lvl w:ilvl="0" w:tplc="17374744">
      <w:start w:val="1"/>
      <w:numFmt w:val="decimal"/>
      <w:lvlText w:val="%1."/>
      <w:lvlJc w:val="left"/>
      <w:pPr>
        <w:ind w:left="720" w:hanging="360"/>
      </w:pPr>
    </w:lvl>
    <w:lvl w:ilvl="1" w:tplc="17374744" w:tentative="1">
      <w:start w:val="1"/>
      <w:numFmt w:val="lowerLetter"/>
      <w:lvlText w:val="%2."/>
      <w:lvlJc w:val="left"/>
      <w:pPr>
        <w:ind w:left="1440" w:hanging="360"/>
      </w:pPr>
    </w:lvl>
    <w:lvl w:ilvl="2" w:tplc="17374744" w:tentative="1">
      <w:start w:val="1"/>
      <w:numFmt w:val="lowerRoman"/>
      <w:lvlText w:val="%3."/>
      <w:lvlJc w:val="right"/>
      <w:pPr>
        <w:ind w:left="2160" w:hanging="180"/>
      </w:pPr>
    </w:lvl>
    <w:lvl w:ilvl="3" w:tplc="17374744" w:tentative="1">
      <w:start w:val="1"/>
      <w:numFmt w:val="decimal"/>
      <w:lvlText w:val="%4."/>
      <w:lvlJc w:val="left"/>
      <w:pPr>
        <w:ind w:left="2880" w:hanging="360"/>
      </w:pPr>
    </w:lvl>
    <w:lvl w:ilvl="4" w:tplc="17374744" w:tentative="1">
      <w:start w:val="1"/>
      <w:numFmt w:val="lowerLetter"/>
      <w:lvlText w:val="%5."/>
      <w:lvlJc w:val="left"/>
      <w:pPr>
        <w:ind w:left="3600" w:hanging="360"/>
      </w:pPr>
    </w:lvl>
    <w:lvl w:ilvl="5" w:tplc="17374744" w:tentative="1">
      <w:start w:val="1"/>
      <w:numFmt w:val="lowerRoman"/>
      <w:lvlText w:val="%6."/>
      <w:lvlJc w:val="right"/>
      <w:pPr>
        <w:ind w:left="4320" w:hanging="180"/>
      </w:pPr>
    </w:lvl>
    <w:lvl w:ilvl="6" w:tplc="17374744" w:tentative="1">
      <w:start w:val="1"/>
      <w:numFmt w:val="decimal"/>
      <w:lvlText w:val="%7."/>
      <w:lvlJc w:val="left"/>
      <w:pPr>
        <w:ind w:left="5040" w:hanging="360"/>
      </w:pPr>
    </w:lvl>
    <w:lvl w:ilvl="7" w:tplc="17374744" w:tentative="1">
      <w:start w:val="1"/>
      <w:numFmt w:val="lowerLetter"/>
      <w:lvlText w:val="%8."/>
      <w:lvlJc w:val="left"/>
      <w:pPr>
        <w:ind w:left="5760" w:hanging="360"/>
      </w:pPr>
    </w:lvl>
    <w:lvl w:ilvl="8" w:tplc="17374744" w:tentative="1">
      <w:start w:val="1"/>
      <w:numFmt w:val="lowerRoman"/>
      <w:lvlText w:val="%9."/>
      <w:lvlJc w:val="right"/>
      <w:pPr>
        <w:ind w:left="6480" w:hanging="180"/>
      </w:pPr>
    </w:lvl>
  </w:abstractNum>
  <w:abstractNum w:abstractNumId="75806202">
    <w:multiLevelType w:val="hybridMultilevel"/>
    <w:lvl w:ilvl="0" w:tplc="6062543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5806202">
    <w:abstractNumId w:val="75806202"/>
  </w:num>
  <w:num w:numId="75806203">
    <w:abstractNumId w:val="7580620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635037057" Type="http://schemas.microsoft.com/office/2011/relationships/commentsExtended" Target="commentsExtended.xml"/><Relationship Id="rId84436aabbc5dd104d" Type="http://schemas.openxmlformats.org/officeDocument/2006/relationships/hyperlink" Target="https://gd.eppo.int/"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