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destructor DITYDE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(2001); Czech Republic (2001); Estonia (2008); France (2001); Germany (2014); Greece (2001); Hungary (1992); Ireland (1998); Latvia (1998); Luxembourg (2001); Netherlands (2015); Poland (2012); Romania (2011); Slovakia (1996); Sweden (1992); United Kingdom (2001); United Kingdom/England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Standing Committee agreed in February 2015 to request EFSA for a complete Pest Risk Assessment before taking a decision about the future regulatory status of this pest in the EU (EU COM, 2015). This complete PRA was published in 2016 (EFSA-PLH, 2016; EPPO Global Database). The nematode is sporadically present in the majority of EU Member States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D. destructor attacks a wide range of ornamental and vegetable species, however EFSA states "begonias are probably wrongly reported as host plants as Goodey (1952) could not find nematodes associated with tubers. There are also no other reports substantiating the host status of begonias" (EFSA-PLH 2016). Therefore it is proposed to conclude begonia is not a host and the analysis is concluded at this point.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enough evidence of the host status. Plants for planting are therefore not considered as a significant pathway for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12, 3834;</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 Ditylenchus destructor for the EU territory. EFSA Journal 14, 4602;</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080098">
    <w:multiLevelType w:val="hybridMultilevel"/>
    <w:lvl w:ilvl="0" w:tplc="54002673">
      <w:start w:val="1"/>
      <w:numFmt w:val="decimal"/>
      <w:lvlText w:val="%1."/>
      <w:lvlJc w:val="left"/>
      <w:pPr>
        <w:ind w:left="720" w:hanging="360"/>
      </w:pPr>
    </w:lvl>
    <w:lvl w:ilvl="1" w:tplc="54002673" w:tentative="1">
      <w:start w:val="1"/>
      <w:numFmt w:val="lowerLetter"/>
      <w:lvlText w:val="%2."/>
      <w:lvlJc w:val="left"/>
      <w:pPr>
        <w:ind w:left="1440" w:hanging="360"/>
      </w:pPr>
    </w:lvl>
    <w:lvl w:ilvl="2" w:tplc="54002673" w:tentative="1">
      <w:start w:val="1"/>
      <w:numFmt w:val="lowerRoman"/>
      <w:lvlText w:val="%3."/>
      <w:lvlJc w:val="right"/>
      <w:pPr>
        <w:ind w:left="2160" w:hanging="180"/>
      </w:pPr>
    </w:lvl>
    <w:lvl w:ilvl="3" w:tplc="54002673" w:tentative="1">
      <w:start w:val="1"/>
      <w:numFmt w:val="decimal"/>
      <w:lvlText w:val="%4."/>
      <w:lvlJc w:val="left"/>
      <w:pPr>
        <w:ind w:left="2880" w:hanging="360"/>
      </w:pPr>
    </w:lvl>
    <w:lvl w:ilvl="4" w:tplc="54002673" w:tentative="1">
      <w:start w:val="1"/>
      <w:numFmt w:val="lowerLetter"/>
      <w:lvlText w:val="%5."/>
      <w:lvlJc w:val="left"/>
      <w:pPr>
        <w:ind w:left="3600" w:hanging="360"/>
      </w:pPr>
    </w:lvl>
    <w:lvl w:ilvl="5" w:tplc="54002673" w:tentative="1">
      <w:start w:val="1"/>
      <w:numFmt w:val="lowerRoman"/>
      <w:lvlText w:val="%6."/>
      <w:lvlJc w:val="right"/>
      <w:pPr>
        <w:ind w:left="4320" w:hanging="180"/>
      </w:pPr>
    </w:lvl>
    <w:lvl w:ilvl="6" w:tplc="54002673" w:tentative="1">
      <w:start w:val="1"/>
      <w:numFmt w:val="decimal"/>
      <w:lvlText w:val="%7."/>
      <w:lvlJc w:val="left"/>
      <w:pPr>
        <w:ind w:left="5040" w:hanging="360"/>
      </w:pPr>
    </w:lvl>
    <w:lvl w:ilvl="7" w:tplc="54002673" w:tentative="1">
      <w:start w:val="1"/>
      <w:numFmt w:val="lowerLetter"/>
      <w:lvlText w:val="%8."/>
      <w:lvlJc w:val="left"/>
      <w:pPr>
        <w:ind w:left="5760" w:hanging="360"/>
      </w:pPr>
    </w:lvl>
    <w:lvl w:ilvl="8" w:tplc="54002673" w:tentative="1">
      <w:start w:val="1"/>
      <w:numFmt w:val="lowerRoman"/>
      <w:lvlText w:val="%9."/>
      <w:lvlJc w:val="right"/>
      <w:pPr>
        <w:ind w:left="6480" w:hanging="180"/>
      </w:pPr>
    </w:lvl>
  </w:abstractNum>
  <w:abstractNum w:abstractNumId="46080097">
    <w:multiLevelType w:val="hybridMultilevel"/>
    <w:lvl w:ilvl="0" w:tplc="889283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080097">
    <w:abstractNumId w:val="46080097"/>
  </w:num>
  <w:num w:numId="46080098">
    <w:abstractNumId w:val="460800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460244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