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0" w:after="0" w:line="240" w:lineRule="auto"/>
        <w:ind w:left="0" w:right="0"/>
        <w:jc w:val="left"/>
        <w:outlineLvl w:val="1"/>
      </w:pPr>
      <w:r>
        <w:rPr>
          <w:color w:val="000000"/>
          <w:sz w:val="24"/>
          <w:szCs w:val="24"/>
        </w:rPr>
        <w:t xml:space="preserve">NAME OF THE ORGANISM: </w:t>
      </w:r>
      <w:r>
        <w:rPr>
          <w:color w:val="861012"/>
          <w:sz w:val="24"/>
          <w:szCs w:val="24"/>
        </w:rPr>
        <w:t xml:space="preserve">Potato virus Y (PVY000)</w:t>
      </w:r>
    </w:p>
    <w:p/>
    <w:p>
      <w:pPr>
        <w:widowControl w:val="on"/>
        <w:pBdr/>
        <w:spacing w:before="0" w:after="0" w:line="240" w:lineRule="auto"/>
        <w:ind w:left="0" w:right="0"/>
        <w:jc w:val="left"/>
        <w:outlineLvl w:val="3"/>
      </w:pPr>
      <w:r>
        <w:rPr>
          <w:color w:val="000000"/>
          <w:sz w:val="24"/>
          <w:szCs w:val="24"/>
        </w:rPr>
        <w:t xml:space="preserve">GENERAL INFORMATION ON THE PEST</w:t>
      </w:r>
    </w:p>
    <w:p>
      <w:pPr>
        <w:widowControl w:val="on"/>
        <w:pBdr/>
        <w:spacing w:before="0" w:after="0" w:line="240" w:lineRule="auto"/>
        <w:ind w:left="0" w:right="0"/>
        <w:jc w:val="left"/>
      </w:pPr>
      <w:r>
        <w:rPr>
          <w:color w:val="000000"/>
          <w:sz w:val="24"/>
          <w:szCs w:val="24"/>
          <w:u w:val="single"/>
        </w:rPr>
        <w:t xml:space="preserve">Name as submitted in the project specification (if different to the preferred name):</w:t>
      </w:r>
      <w:r>
        <w:rPr>
          <w:color w:val="000000"/>
          <w:sz w:val="24"/>
          <w:szCs w:val="24"/>
        </w:rPr>
        <w:t xml:space="preserve">
</w:t>
      </w:r>
      <w:r>
        <w:rPr>
          <w:color w:val="000000"/>
          <w:sz w:val="24"/>
          <w:szCs w:val="24"/>
          <w:u w:val="single"/>
        </w:rPr>
        <w:br/>
        <w:t xml:space="preserve">Pest category:</w:t>
      </w:r>
      <w:r>
        <w:rPr>
          <w:color w:val="000000"/>
          <w:sz w:val="24"/>
          <w:szCs w:val="24"/>
        </w:rPr>
        <w:t xml:space="preserve">
</w:t>
      </w:r>
      <w:r>
        <w:rPr>
          <w:color w:val="0200C9"/>
          <w:sz w:val="24"/>
          <w:szCs w:val="24"/>
        </w:rPr>
        <w:t xml:space="preserve">Viruses and viroids</w:t>
      </w:r>
      <w:r>
        <w:rPr>
          <w:b/>
          <w:bCs/>
          <w:color w:val="000000"/>
          <w:sz w:val="24"/>
          <w:szCs w:val="24"/>
          <w:u w:val="single"/>
        </w:rPr>
        <w:br/>
        <w:br/>
        <w:t xml:space="preserve">1- Identity of the pest/Level of taxonomic listing:</w:t>
      </w:r>
      <w:r>
        <w:rPr>
          <w:color w:val="000000"/>
          <w:sz w:val="24"/>
          <w:szCs w:val="24"/>
          <w:u w:val="single"/>
        </w:rPr>
        <w:br/>
        <w:t xml:space="preserve">Is the organism clearly a single taxonomic entity and can it be adequately distinguished from other entities of the same rank?</w:t>
      </w:r>
      <w:r>
        <w:rPr>
          <w:color w:val="000000"/>
          <w:sz w:val="24"/>
          <w:szCs w:val="24"/>
        </w:rPr>
        <w:t xml:space="preserve">
</w:t>
      </w:r>
      <w:r>
        <w:rPr>
          <w:color w:val="0200C9"/>
          <w:sz w:val="24"/>
          <w:szCs w:val="24"/>
        </w:rPr>
        <w:t xml:space="preserve">Yes</w:t>
      </w:r>
      <w:r>
        <w:rPr>
          <w:color w:val="000000"/>
          <w:sz w:val="24"/>
          <w:szCs w:val="24"/>
          <w:u w:val="single"/>
        </w:rPr>
        <w:br/>
        <w:t xml:space="preserve">Is the pest defined at the species level or lower?:</w:t>
      </w:r>
      <w:r>
        <w:rPr>
          <w:color w:val="000000"/>
          <w:sz w:val="24"/>
          <w:szCs w:val="24"/>
        </w:rPr>
        <w:t xml:space="preserve">
</w:t>
      </w:r>
      <w:r>
        <w:rPr>
          <w:color w:val="0200C9"/>
          <w:sz w:val="24"/>
          <w:szCs w:val="24"/>
        </w:rPr>
        <w:t xml:space="preserve">Yes</w:t>
      </w:r>
      <w:r>
        <w:rPr>
          <w:color w:val="000000"/>
          <w:sz w:val="24"/>
          <w:szCs w:val="24"/>
          <w:u w:val="single"/>
        </w:rPr>
        <w:br/>
        <w:t xml:space="preserve">Can listing of the pest at a taxonomic level higher than species be supported by scientific reasons or can species be identified within the taxonomic rank which are the (main) pests of concern?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Not relevant: Vegetable propagating and planting material (other than seeds) sector</w:t>
      </w:r>
    </w:p>
    <w:p>
      <w:pPr>
        <w:widowControl w:val="on"/>
        <w:pBdr/>
        <w:spacing w:before="0" w:after="0" w:line="240" w:lineRule="auto"/>
        <w:ind w:left="0" w:right="0"/>
        <w:jc w:val="left"/>
      </w:pPr>
      <w:r>
        <w:rPr>
          <w:color w:val="000000"/>
          <w:sz w:val="24"/>
          <w:szCs w:val="24"/>
          <w:u w:val="single"/>
        </w:rPr>
        <w:t xml:space="preserve">Is it justified that the pest is listed at a taxonomic rank below species level?</w:t>
      </w:r>
      <w:r>
        <w:rPr>
          <w:color w:val="000000"/>
          <w:sz w:val="24"/>
          <w:szCs w:val="24"/>
        </w:rPr>
        <w:t xml:space="preserve">
</w:t>
      </w:r>
      <w:r>
        <w:rPr>
          <w:color w:val="0200C9"/>
          <w:sz w:val="24"/>
          <w:szCs w:val="24"/>
        </w:rPr>
        <w:t xml:space="preserve">Not relevant</w:t>
      </w:r>
      <w:r>
        <w:rPr>
          <w:color w:val="000000"/>
          <w:sz w:val="24"/>
          <w:szCs w:val="24"/>
          <w:u w:val="single"/>
        </w:rPr>
        <w:br/>
        <w:t xml:space="preserve">Conclusion: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Candidate: Vegetable propagating and planting material (other than seeds) sector</w:t>
      </w:r>
    </w:p>
    <w:p>
      <w:pPr>
        <w:widowControl w:val="on"/>
        <w:pBdr/>
        <w:spacing w:before="0" w:after="0" w:line="240" w:lineRule="auto"/>
        <w:ind w:left="0" w:right="0"/>
        <w:jc w:val="left"/>
      </w:pPr>
      <w:r>
        <w:rPr>
          <w:color w:val="000000"/>
          <w:sz w:val="24"/>
          <w:szCs w:val="24"/>
          <w:u w:val="single"/>
        </w:rPr>
        <w:t xml:space="preserve">Justification (if necessary):</w:t>
      </w:r>
      <w:r>
        <w:rPr>
          <w:color w:val="000000"/>
          <w:sz w:val="24"/>
          <w:szCs w:val="24"/>
        </w:rPr>
        <w:t xml:space="preserve">
</w:t>
      </w:r>
      <w:r>
        <w:rPr>
          <w:color w:val="0200C9"/>
          <w:sz w:val="24"/>
          <w:szCs w:val="24"/>
        </w:rPr>
        <w:t xml:space="preserve">Seed potato sector: the pest is not evaluated, because qualified based on EPPO PM 4 Standard;</w:t>
      </w:r>
      <w:r>
        <w:rPr>
          <w:color w:val="0200C9"/>
          <w:sz w:val="24"/>
          <w:szCs w:val="24"/>
        </w:rPr>
        <w:br/>
        <w:t xml:space="preserve">Vegetable propagating and planting material (other than seeds) sector: Aphid transmitted in a non-persistent manner, this virus seems to have the same effects on pepper as for tomato and aubergine (EPPO, 2004). Therefore it is suggested it should be treated in the same manner as for those two hosts.</w:t>
      </w:r>
      <w:r>
        <w:rPr>
          <w:b/>
          <w:bCs/>
          <w:color w:val="000000"/>
          <w:sz w:val="24"/>
          <w:szCs w:val="24"/>
          <w:u w:val="single"/>
        </w:rPr>
        <w:br/>
        <w:t xml:space="preserve">2 – Status in the EU:</w:t>
      </w:r>
      <w:r>
        <w:rPr>
          <w:color w:val="000000"/>
          <w:sz w:val="24"/>
          <w:szCs w:val="24"/>
        </w:rPr>
        <w:t xml:space="preserve">
 </w:t>
      </w:r>
      <w:r>
        <w:rPr>
          <w:color w:val="000000"/>
          <w:sz w:val="24"/>
          <w:szCs w:val="24"/>
          <w:u w:val="single"/>
        </w:rPr>
        <w:br/>
        <w:t xml:space="preserve">Is this pest already a quarantine pest for the whole EU?</w:t>
      </w:r>
      <w:r>
        <w:rPr>
          <w:color w:val="000000"/>
          <w:sz w:val="24"/>
          <w:szCs w:val="24"/>
        </w:rPr>
        <w:t xml:space="preserve">
</w:t>
      </w:r>
      <w:r>
        <w:rPr>
          <w:color w:val="000000"/>
          <w:sz w:val="24"/>
          <w:szCs w:val="24"/>
          <w:u w:val="single"/>
        </w:rPr>
        <w:br/>
        <w:t xml:space="preserve">Presence in the EU:</w:t>
      </w:r>
      <w:r>
        <w:rPr>
          <w:color w:val="000000"/>
          <w:sz w:val="24"/>
          <w:szCs w:val="24"/>
        </w:rPr>
        <w:t xml:space="preserve">
</w:t>
      </w:r>
      <w:r>
        <w:rPr>
          <w:color w:val="000000"/>
          <w:sz w:val="24"/>
          <w:szCs w:val="24"/>
          <w:u w:val="single"/>
        </w:rPr>
        <w:br/>
        <w:t xml:space="preserve">Conclusion:</w:t>
      </w:r>
      <w:r>
        <w:rPr>
          <w:color w:val="000000"/>
          <w:sz w:val="24"/>
          <w:szCs w:val="24"/>
        </w:rPr>
        <w:t xml:space="preserve">
</w:t>
      </w:r>
    </w:p>
    <w:p>
      <w:pPr>
        <w:widowControl w:val="on"/>
        <w:pBdr/>
        <w:spacing w:before="0" w:after="0" w:line="240" w:lineRule="auto"/>
        <w:ind w:left="0" w:right="0"/>
        <w:jc w:val="left"/>
        <w:outlineLvl w:val="2"/>
      </w:pPr>
      <w:r>
        <w:rPr>
          <w:color w:val="000000"/>
          <w:sz w:val="24"/>
          <w:szCs w:val="24"/>
        </w:rPr>
        <w:br/>
        <w:t xml:space="preserve">HOST PLANT N°1: </w:t>
      </w:r>
      <w:r>
        <w:rPr>
          <w:color w:val="149613"/>
          <w:sz w:val="24"/>
          <w:szCs w:val="24"/>
        </w:rPr>
        <w:t xml:space="preserve">Solanum lycopersicum (LYPES)</w:t>
      </w:r>
      <w:r>
        <w:rPr>
          <w:color w:val="000000"/>
          <w:sz w:val="24"/>
          <w:szCs w:val="24"/>
        </w:rPr>
        <w:t xml:space="preserve"> for the Vegetable propagating and planting material (other than seeds) sector.</w:t>
      </w:r>
    </w:p>
    <w:p/>
    <w:p>
      <w:pPr>
        <w:widowControl w:val="on"/>
        <w:pBdr/>
        <w:spacing w:before="0" w:after="0" w:line="240" w:lineRule="auto"/>
        <w:ind w:left="0" w:right="0"/>
        <w:jc w:val="left"/>
      </w:pPr>
      <w:r>
        <w:rPr>
          <w:b/>
          <w:bCs/>
          <w:color w:val="000000"/>
          <w:sz w:val="24"/>
          <w:szCs w:val="24"/>
          <w:u w:val="single"/>
        </w:rPr>
        <w:t xml:space="preserve">CONCLUSION ON THE STATUS:</w:t>
      </w:r>
      <w:r>
        <w:rPr>
          <w:color w:val="000000"/>
          <w:sz w:val="24"/>
          <w:szCs w:val="24"/>
        </w:rPr>
        <w:t xml:space="preserve">
</w:t>
      </w:r>
      <w:r>
        <w:rPr>
          <w:color w:val="0200C9"/>
          <w:sz w:val="24"/>
          <w:szCs w:val="24"/>
        </w:rPr>
        <w:t xml:space="preserve">Not evaluated: This pest/host combination was not identified by any EU MS in the RNQP Questionnaire as requiring a revision of current thresholds and or a revision of current management measures. This pest/host combination was not identified by the experts of the vegetable SEWG as being a candidate for the RNQP Status with specific tolerance levels and/or specific risk management measures. Experts recommended that this pest/host combination should be covered in the future by the 'substantially free from' requirement that will remain in the Vegetable propagating and planting (excluding seeds) EU Marketing Directives.</w:t>
      </w:r>
    </w:p>
    <w:sectPr xmlns:w="http://schemas.openxmlformats.org/wordprocessingml/2006/main" w:rsidR="00AC197E" w:rsidRPr="00DF064E" w:rsidSect="000F6147">
      <w:pgSz w:w="11906" w:h="16838" w:orient="portrait" w:code="9"/>
      <w:pgMar w:top="10mm" w:right="10mm" w:bottom="10mm" w:left="10mm"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8943558">
    <w:multiLevelType w:val="hybridMultilevel"/>
    <w:lvl w:ilvl="0" w:tplc="21596292">
      <w:start w:val="1"/>
      <w:numFmt w:val="decimal"/>
      <w:lvlText w:val="%1."/>
      <w:lvlJc w:val="left"/>
      <w:pPr>
        <w:ind w:left="720" w:hanging="360"/>
      </w:pPr>
    </w:lvl>
    <w:lvl w:ilvl="1" w:tplc="21596292" w:tentative="1">
      <w:start w:val="1"/>
      <w:numFmt w:val="lowerLetter"/>
      <w:lvlText w:val="%2."/>
      <w:lvlJc w:val="left"/>
      <w:pPr>
        <w:ind w:left="1440" w:hanging="360"/>
      </w:pPr>
    </w:lvl>
    <w:lvl w:ilvl="2" w:tplc="21596292" w:tentative="1">
      <w:start w:val="1"/>
      <w:numFmt w:val="lowerRoman"/>
      <w:lvlText w:val="%3."/>
      <w:lvlJc w:val="right"/>
      <w:pPr>
        <w:ind w:left="2160" w:hanging="180"/>
      </w:pPr>
    </w:lvl>
    <w:lvl w:ilvl="3" w:tplc="21596292" w:tentative="1">
      <w:start w:val="1"/>
      <w:numFmt w:val="decimal"/>
      <w:lvlText w:val="%4."/>
      <w:lvlJc w:val="left"/>
      <w:pPr>
        <w:ind w:left="2880" w:hanging="360"/>
      </w:pPr>
    </w:lvl>
    <w:lvl w:ilvl="4" w:tplc="21596292" w:tentative="1">
      <w:start w:val="1"/>
      <w:numFmt w:val="lowerLetter"/>
      <w:lvlText w:val="%5."/>
      <w:lvlJc w:val="left"/>
      <w:pPr>
        <w:ind w:left="3600" w:hanging="360"/>
      </w:pPr>
    </w:lvl>
    <w:lvl w:ilvl="5" w:tplc="21596292" w:tentative="1">
      <w:start w:val="1"/>
      <w:numFmt w:val="lowerRoman"/>
      <w:lvlText w:val="%6."/>
      <w:lvlJc w:val="right"/>
      <w:pPr>
        <w:ind w:left="4320" w:hanging="180"/>
      </w:pPr>
    </w:lvl>
    <w:lvl w:ilvl="6" w:tplc="21596292" w:tentative="1">
      <w:start w:val="1"/>
      <w:numFmt w:val="decimal"/>
      <w:lvlText w:val="%7."/>
      <w:lvlJc w:val="left"/>
      <w:pPr>
        <w:ind w:left="5040" w:hanging="360"/>
      </w:pPr>
    </w:lvl>
    <w:lvl w:ilvl="7" w:tplc="21596292" w:tentative="1">
      <w:start w:val="1"/>
      <w:numFmt w:val="lowerLetter"/>
      <w:lvlText w:val="%8."/>
      <w:lvlJc w:val="left"/>
      <w:pPr>
        <w:ind w:left="5760" w:hanging="360"/>
      </w:pPr>
    </w:lvl>
    <w:lvl w:ilvl="8" w:tplc="21596292" w:tentative="1">
      <w:start w:val="1"/>
      <w:numFmt w:val="lowerRoman"/>
      <w:lvlText w:val="%9."/>
      <w:lvlJc w:val="right"/>
      <w:pPr>
        <w:ind w:left="6480" w:hanging="180"/>
      </w:pPr>
    </w:lvl>
  </w:abstractNum>
  <w:abstractNum w:abstractNumId="18943557">
    <w:multiLevelType w:val="hybridMultilevel"/>
    <w:lvl w:ilvl="0" w:tplc="34013954">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18943557">
    <w:abstractNumId w:val="18943557"/>
  </w:num>
  <w:num w:numId="18943558">
    <w:abstractNumId w:val="1894355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839021751" Type="http://schemas.microsoft.com/office/2011/relationships/commentsExtended" Target="commentsExtended.xm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