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Verticillium dahliae VERTDA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(1986); Cyprus (2011); Czech Republic (2011); Denmark (1986); France (1986); Germany (2012); Greece (2013); Greece/Kriti (2013); Hungary (1986); Italy (2007); Malta (2007); Netherlands (2015); Portugal (1986); Slovakia (2012); Spain (2014); United Kingdom (2014); United Kingdom/England (1986); United Kingdom/Scotland (1986); United Kingdom/Channel Islands (1986)</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2166ae753a930112" w:history="1">
        <w:r>
          <w:rPr>
            <w:color w:val="0200C9"/>
            <w:sz w:val="24"/>
            <w:szCs w:val="24"/>
          </w:rPr>
          <w:t xml:space="preserve">https://gd.eppo.int/</w:t>
        </w:r>
      </w:hyperlink>
      <w:r>
        <w:rPr>
          <w:color w:val="0200C9"/>
          <w:sz w:val="24"/>
          <w:szCs w:val="24"/>
        </w:rPr>
        <w:t xml:space="preserve">). V. dahliae is present in most EU MSs, with the exception of Ireland (absent, no pest records) and Poland (absent/uncertain). The current status of V. dahliae in the MSs where the pathogen is known to occur ranges from “restricted distribution” to “widespread” (EFSA, 2014).</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Verticillium albo-atrum and V. dahliae cause wilting and sometimes death of plants. Verticillium wilt is a cool-weather disease and has a wide host range in natural areas. The two Verticillium spp. survive in soil, as long lived resting mycelium or microsclerotia, respectively, or in debris from infected plants. Control is by use of healthy planting material, resistant cultivars, prevention of movement of infected plants and infested soil, removal of diseased plants and plant debris, avoiding high nitrogen concentrations and soil disinfestation. Crop rotation can reduce losses, but not eliminate the pathogens because of the wide host range of Verticillium spp. (EPPO, 2004). Bell pepper was found resistant to all V. dahliae isolates except those from pepper or eggplant in one paper, but in two other papers found little host specificity existed in isolates of V. dahliae and V. alboatrum, so crop rotation would not assist in control.</w:t>
      </w:r>
      <w:r>
        <w:rPr>
          <w:color w:val="F30000"/>
          <w:sz w:val="24"/>
          <w:szCs w:val="24"/>
        </w:rPr>
        <w:br/>
        <w:t xml:space="preserve">Because cardon is grown from seeds, and because of the wide host range and longevity of inoculum sources in the environment, planting material (transplants) are not considered to be the main pathway. Once, established, V. dahliae can be spread by infected asymptomatic weed seeds and weed seeds, by water and by human-assisted means.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Severe wilt problems caused by Verticillium dahliae Kleb. are frequently observed in artichoke (Cynara cardunculus var. scolymus) grown in South Italy, Spain, and Chile, where diseased plants do not produce at all or give only few small and deformed heads (Temperini et al., 2010). In Eastern Spain, Verticillium wilt caused by V. dahliae is now recognized as one of the major problems limiting yield in artichoke crops (Cynara cardunculus var. scolymus [C. scolymus] (Ortega &amp; Perez, 2007). Experts considered that there is a lack of data concerning report of the disease and economic impact on cardon.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main pathway. Remark: the full methodology was applied on this pest to insure consistency with entries submitted by the IIA2 AWG for this pest. Indeed this pest/host combination was not identified by any EU MS in the RNQP Questionnaire as requiring a revision of current thresholds and or a revision of current management measures. This pest/host combination was not identified by the experts of the vegetable SEWG as being a candidate for the RNQP Status with specific tolerance levels and/or specific risk management measures. Experts recommended that this pest/host combination should be covered in the future by the 'substantially free from' requirement that will stay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Verticillium dahliae Kleb. EFSA Journal 2014;12(12):3928, 54 pp. doi:10.2903/j.efsa.2014.3928. </w:t>
      </w:r>
      <w:hyperlink r:id="rId79986ae753a930385" w:history="1">
        <w:r>
          <w:rPr>
            <w:color w:val="0200C9"/>
            <w:sz w:val="24"/>
            <w:szCs w:val="24"/>
          </w:rPr>
          <w:t xml:space="preserve">http://www.efsa.europa.eu/en/efsajournal/doc/3928.pdf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(2004) Good plant protection practice PP 2/30 (1) Outdoor solanaceous crops Bulletin OEPP/EPPO Bulletin 34, 79-90;</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Verticillium dahlia Kleb.;</w:t>
      </w:r>
    </w:p>
    <w:p>
      <w:pPr>
        <w:numPr>
          <w:ilvl w:val="0"/>
          <w:numId w:val="1"/>
        </w:numPr>
        <w:spacing w:before="0" w:after="0" w:line="240" w:lineRule="auto"/>
        <w:jc w:val="left"/>
        <w:rPr>
          <w:color w:val="0200C9"/>
          <w:sz w:val="24"/>
          <w:szCs w:val="24"/>
        </w:rPr>
      </w:pPr>
      <w:r>
        <w:rPr>
          <w:color w:val="0200C9"/>
          <w:sz w:val="24"/>
          <w:szCs w:val="24"/>
        </w:rPr>
        <w:t xml:space="preserve">Giménez-Jaime A, Beltrán R, Vicent A, Armengol J &amp; García-Jiménez J 2004 Differential infection of artichoke propagating material grown in Verticillium dahliae infested and noninfested soil. Acta Horticulturae No.660, pp 501-505;</w:t>
      </w:r>
    </w:p>
    <w:p>
      <w:pPr>
        <w:numPr>
          <w:ilvl w:val="0"/>
          <w:numId w:val="1"/>
        </w:numPr>
        <w:spacing w:before="0" w:after="0" w:line="240" w:lineRule="auto"/>
        <w:jc w:val="left"/>
        <w:rPr>
          <w:color w:val="0200C9"/>
          <w:sz w:val="24"/>
          <w:szCs w:val="24"/>
        </w:rPr>
      </w:pPr>
      <w:r>
        <w:rPr>
          <w:color w:val="0200C9"/>
          <w:sz w:val="24"/>
          <w:szCs w:val="24"/>
        </w:rPr>
        <w:t xml:space="preserve">Ortega A &amp; Pérez S 2007 Aggressiveness of Verticillium dahliae isolates from potato to artichoke. Acta Horticulturae No.730, pp 407-411;</w:t>
      </w:r>
    </w:p>
    <w:p>
      <w:pPr>
        <w:numPr>
          <w:ilvl w:val="0"/>
          <w:numId w:val="1"/>
        </w:numPr>
        <w:spacing w:before="0" w:after="0" w:line="240" w:lineRule="auto"/>
        <w:jc w:val="left"/>
        <w:rPr>
          <w:color w:val="0200C9"/>
          <w:sz w:val="24"/>
          <w:szCs w:val="24"/>
        </w:rPr>
      </w:pPr>
      <w:r>
        <w:rPr>
          <w:color w:val="0200C9"/>
          <w:sz w:val="24"/>
          <w:szCs w:val="24"/>
        </w:rPr>
        <w:t xml:space="preserve">Temperini A, Ercolani F, Temperini O, Colla G &amp; Saccardo F 2010 Grafting of artichoke (Cynara cardunculus var. scolymus L.). Italus Hortus 17, No.2, pp 72-73;</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578806">
    <w:multiLevelType w:val="hybridMultilevel"/>
    <w:lvl w:ilvl="0" w:tplc="24997288">
      <w:start w:val="1"/>
      <w:numFmt w:val="decimal"/>
      <w:lvlText w:val="%1."/>
      <w:lvlJc w:val="left"/>
      <w:pPr>
        <w:ind w:left="720" w:hanging="360"/>
      </w:pPr>
    </w:lvl>
    <w:lvl w:ilvl="1" w:tplc="24997288" w:tentative="1">
      <w:start w:val="1"/>
      <w:numFmt w:val="lowerLetter"/>
      <w:lvlText w:val="%2."/>
      <w:lvlJc w:val="left"/>
      <w:pPr>
        <w:ind w:left="1440" w:hanging="360"/>
      </w:pPr>
    </w:lvl>
    <w:lvl w:ilvl="2" w:tplc="24997288" w:tentative="1">
      <w:start w:val="1"/>
      <w:numFmt w:val="lowerRoman"/>
      <w:lvlText w:val="%3."/>
      <w:lvlJc w:val="right"/>
      <w:pPr>
        <w:ind w:left="2160" w:hanging="180"/>
      </w:pPr>
    </w:lvl>
    <w:lvl w:ilvl="3" w:tplc="24997288" w:tentative="1">
      <w:start w:val="1"/>
      <w:numFmt w:val="decimal"/>
      <w:lvlText w:val="%4."/>
      <w:lvlJc w:val="left"/>
      <w:pPr>
        <w:ind w:left="2880" w:hanging="360"/>
      </w:pPr>
    </w:lvl>
    <w:lvl w:ilvl="4" w:tplc="24997288" w:tentative="1">
      <w:start w:val="1"/>
      <w:numFmt w:val="lowerLetter"/>
      <w:lvlText w:val="%5."/>
      <w:lvlJc w:val="left"/>
      <w:pPr>
        <w:ind w:left="3600" w:hanging="360"/>
      </w:pPr>
    </w:lvl>
    <w:lvl w:ilvl="5" w:tplc="24997288" w:tentative="1">
      <w:start w:val="1"/>
      <w:numFmt w:val="lowerRoman"/>
      <w:lvlText w:val="%6."/>
      <w:lvlJc w:val="right"/>
      <w:pPr>
        <w:ind w:left="4320" w:hanging="180"/>
      </w:pPr>
    </w:lvl>
    <w:lvl w:ilvl="6" w:tplc="24997288" w:tentative="1">
      <w:start w:val="1"/>
      <w:numFmt w:val="decimal"/>
      <w:lvlText w:val="%7."/>
      <w:lvlJc w:val="left"/>
      <w:pPr>
        <w:ind w:left="5040" w:hanging="360"/>
      </w:pPr>
    </w:lvl>
    <w:lvl w:ilvl="7" w:tplc="24997288" w:tentative="1">
      <w:start w:val="1"/>
      <w:numFmt w:val="lowerLetter"/>
      <w:lvlText w:val="%8."/>
      <w:lvlJc w:val="left"/>
      <w:pPr>
        <w:ind w:left="5760" w:hanging="360"/>
      </w:pPr>
    </w:lvl>
    <w:lvl w:ilvl="8" w:tplc="24997288" w:tentative="1">
      <w:start w:val="1"/>
      <w:numFmt w:val="lowerRoman"/>
      <w:lvlText w:val="%9."/>
      <w:lvlJc w:val="right"/>
      <w:pPr>
        <w:ind w:left="6480" w:hanging="180"/>
      </w:pPr>
    </w:lvl>
  </w:abstractNum>
  <w:abstractNum w:abstractNumId="35578805">
    <w:multiLevelType w:val="hybridMultilevel"/>
    <w:lvl w:ilvl="0" w:tplc="421348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578805">
    <w:abstractNumId w:val="35578805"/>
  </w:num>
  <w:num w:numId="35578806">
    <w:abstractNumId w:val="35578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7083633" Type="http://schemas.microsoft.com/office/2011/relationships/commentsExtended" Target="commentsExtended.xml"/><Relationship Id="rId12166ae753a930112" Type="http://schemas.openxmlformats.org/officeDocument/2006/relationships/hyperlink" Target="https://gd.eppo.int/" TargetMode="External"/><Relationship Id="rId79986ae753a930385" Type="http://schemas.openxmlformats.org/officeDocument/2006/relationships/hyperlink" Target="http://www.efsa.europa.eu/en/efsajournal/doc/3928.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