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0269f5774aeb1fc"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F30000"/>
          <w:sz w:val="24"/>
          <w:szCs w:val="24"/>
        </w:rPr>
        <w:br/>
        <w:t xml:space="preserve">marginal and interveinal chlorosis develops on lower leaflets. Verticillium can also cause problems in crops grown on artificial substrates (EPPO, 2004).</w:t>
      </w:r>
      <w:r>
        <w:rPr>
          <w:color w:val="F30000"/>
          <w:sz w:val="24"/>
          <w:szCs w:val="24"/>
        </w:rPr>
        <w:br/>
        <w:t xml:space="preserve">The severity of Verticillium wilts depends upon the inoculum density, the virulence of the pathogen, the host susceptibility (genetic constitution, age and physiological condition), the environmental conditions, particular temperature, the soil conditions (pH, moisture and nutrient availability) and the presence of biological antagonists in the soil (Bell, 1993)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V. albo-atrum sensu lato has been reported to affect many cultivated and non-cultivated host plants in the risk assessment area, there is lack of available quantitative data on yield and quality loss on host crops other than hop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427469f5774aeb7b2"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70492">
    <w:multiLevelType w:val="hybridMultilevel"/>
    <w:lvl w:ilvl="0" w:tplc="77896446">
      <w:start w:val="1"/>
      <w:numFmt w:val="decimal"/>
      <w:lvlText w:val="%1."/>
      <w:lvlJc w:val="left"/>
      <w:pPr>
        <w:ind w:left="720" w:hanging="360"/>
      </w:pPr>
    </w:lvl>
    <w:lvl w:ilvl="1" w:tplc="77896446" w:tentative="1">
      <w:start w:val="1"/>
      <w:numFmt w:val="lowerLetter"/>
      <w:lvlText w:val="%2."/>
      <w:lvlJc w:val="left"/>
      <w:pPr>
        <w:ind w:left="1440" w:hanging="360"/>
      </w:pPr>
    </w:lvl>
    <w:lvl w:ilvl="2" w:tplc="77896446" w:tentative="1">
      <w:start w:val="1"/>
      <w:numFmt w:val="lowerRoman"/>
      <w:lvlText w:val="%3."/>
      <w:lvlJc w:val="right"/>
      <w:pPr>
        <w:ind w:left="2160" w:hanging="180"/>
      </w:pPr>
    </w:lvl>
    <w:lvl w:ilvl="3" w:tplc="77896446" w:tentative="1">
      <w:start w:val="1"/>
      <w:numFmt w:val="decimal"/>
      <w:lvlText w:val="%4."/>
      <w:lvlJc w:val="left"/>
      <w:pPr>
        <w:ind w:left="2880" w:hanging="360"/>
      </w:pPr>
    </w:lvl>
    <w:lvl w:ilvl="4" w:tplc="77896446" w:tentative="1">
      <w:start w:val="1"/>
      <w:numFmt w:val="lowerLetter"/>
      <w:lvlText w:val="%5."/>
      <w:lvlJc w:val="left"/>
      <w:pPr>
        <w:ind w:left="3600" w:hanging="360"/>
      </w:pPr>
    </w:lvl>
    <w:lvl w:ilvl="5" w:tplc="77896446" w:tentative="1">
      <w:start w:val="1"/>
      <w:numFmt w:val="lowerRoman"/>
      <w:lvlText w:val="%6."/>
      <w:lvlJc w:val="right"/>
      <w:pPr>
        <w:ind w:left="4320" w:hanging="180"/>
      </w:pPr>
    </w:lvl>
    <w:lvl w:ilvl="6" w:tplc="77896446" w:tentative="1">
      <w:start w:val="1"/>
      <w:numFmt w:val="decimal"/>
      <w:lvlText w:val="%7."/>
      <w:lvlJc w:val="left"/>
      <w:pPr>
        <w:ind w:left="5040" w:hanging="360"/>
      </w:pPr>
    </w:lvl>
    <w:lvl w:ilvl="7" w:tplc="77896446" w:tentative="1">
      <w:start w:val="1"/>
      <w:numFmt w:val="lowerLetter"/>
      <w:lvlText w:val="%8."/>
      <w:lvlJc w:val="left"/>
      <w:pPr>
        <w:ind w:left="5760" w:hanging="360"/>
      </w:pPr>
    </w:lvl>
    <w:lvl w:ilvl="8" w:tplc="77896446" w:tentative="1">
      <w:start w:val="1"/>
      <w:numFmt w:val="lowerRoman"/>
      <w:lvlText w:val="%9."/>
      <w:lvlJc w:val="right"/>
      <w:pPr>
        <w:ind w:left="6480" w:hanging="180"/>
      </w:pPr>
    </w:lvl>
  </w:abstractNum>
  <w:abstractNum w:abstractNumId="65870491">
    <w:multiLevelType w:val="hybridMultilevel"/>
    <w:lvl w:ilvl="0" w:tplc="72390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70491">
    <w:abstractNumId w:val="65870491"/>
  </w:num>
  <w:num w:numId="65870492">
    <w:abstractNumId w:val="658704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498243" Type="http://schemas.microsoft.com/office/2011/relationships/commentsExtended" Target="commentsExtended.xml"/><Relationship Id="rId710269f5774aeb1fc" Type="http://schemas.openxmlformats.org/officeDocument/2006/relationships/hyperlink" Target="https://gd.eppo.int/" TargetMode="External"/><Relationship Id="rId427469f5774aeb7b2"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