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 the basis of the literature reported, Solanum lycopersicum resulted affected by several Verticillium species that cause similar symptoms on the host.</w:t>
      </w:r>
      <w:r>
        <w:rPr>
          <w:color w:val="F30000"/>
          <w:sz w:val="24"/>
          <w:szCs w:val="24"/>
        </w:rPr>
        <w:br/>
        <w:t xml:space="preserve">V. dahliae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w:t>
      </w:r>
      <w:r>
        <w:rPr>
          <w:color w:val="F30000"/>
          <w:sz w:val="24"/>
          <w:szCs w:val="24"/>
        </w:rPr>
        <w:br/>
        <w:t xml:space="preserve">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the case of tomato crops, yield reductions caused by V. dahliae can reach up to 70 % in many parts of the world. Field studies conducted in USA (North Carolina) showed that race 1 and race 2 of the pathogen reduced yields of tomato susceptible cultivars by 30–69 % and 2–31 %, respectively (Jones and Crill, 1975; Bender and Shoemaker, 1984). However, the use of cultivars resistant to race 1 and grafting of tomato to resistant rootstocks have decreased the impact caused by the pathogen to tomato crops during the last 20 years.” (EFSA, 2014). Economic impact could be significant in cultivation of tomato ecotype.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(2014a) Scientific opinion on the pest categorisation of Verticillium dahliae Kleb. EFSA Journal 12, 3928;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(2014b) Scientific Opinion on the pest categorisation of Verticillium albo-atrum sensu stricto Reinke and Berthold, V. alfalfae Inderb., HW Platt, RM Bostock, RM Davis &amp; KV Subbarao, sp. nov., and V. nonalfalfae Inderb., HW Platt, RM Bostock, RM Davis &amp; KV Subbarao, sp. nov. EFSA Journal 12, 3927;</w:t>
      </w:r>
    </w:p>
    <w:p>
      <w:pPr>
        <w:numPr>
          <w:ilvl w:val="0"/>
          <w:numId w:val="1"/>
        </w:numPr>
        <w:spacing w:before="0" w:after="0" w:line="240" w:lineRule="auto"/>
        <w:jc w:val="left"/>
        <w:rPr>
          <w:color w:val="0200C9"/>
          <w:sz w:val="24"/>
          <w:szCs w:val="24"/>
        </w:rPr>
      </w:pPr>
      <w:r>
        <w:rPr>
          <w:color w:val="0200C9"/>
          <w:sz w:val="24"/>
          <w:szCs w:val="24"/>
        </w:rPr>
        <w:t xml:space="preserve">EPPO (2004a) PP 2/29(1) Good plant protection practice. Solanaceous crops under protected cultivation. Bulletin OEPP/EPPO Bulletin 34, 65–77;</w:t>
      </w:r>
    </w:p>
    <w:p>
      <w:pPr>
        <w:numPr>
          <w:ilvl w:val="0"/>
          <w:numId w:val="1"/>
        </w:numPr>
        <w:spacing w:before="0" w:after="0" w:line="240" w:lineRule="auto"/>
        <w:jc w:val="left"/>
        <w:rPr>
          <w:color w:val="0200C9"/>
          <w:sz w:val="24"/>
          <w:szCs w:val="24"/>
        </w:rPr>
      </w:pPr>
      <w:r>
        <w:rPr>
          <w:color w:val="0200C9"/>
          <w:sz w:val="24"/>
          <w:szCs w:val="24"/>
        </w:rPr>
        <w:t xml:space="preserve">EPPO (2004b) PP 2/30(1) Good plant protection practice -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EPPO (2017) EPPO Global Database. Available on-line </w:t>
      </w:r>
      <w:hyperlink r:id="rId94166ae75fd438118" w:history="1">
        <w:r>
          <w:rPr>
            <w:color w:val="0200C9"/>
            <w:sz w:val="24"/>
            <w:szCs w:val="24"/>
          </w:rPr>
          <w:t xml:space="preserve">https://gd.eppo.int/</w:t>
        </w:r>
      </w:hyperlink>
      <w:r>
        <w:rPr>
          <w:color w:val="0200C9"/>
          <w:sz w:val="24"/>
          <w:szCs w:val="24"/>
        </w:rPr>
        <w:t xml:space="preserve">. Accessed June, 24th 2017;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albo-atrum Reinke and Berthold;</w:t>
      </w:r>
    </w:p>
    <w:p>
      <w:pPr>
        <w:numPr>
          <w:ilvl w:val="0"/>
          <w:numId w:val="1"/>
        </w:numPr>
        <w:spacing w:before="0" w:after="0" w:line="240" w:lineRule="auto"/>
        <w:jc w:val="left"/>
        <w:rPr>
          <w:color w:val="0200C9"/>
          <w:sz w:val="24"/>
          <w:szCs w:val="24"/>
        </w:rPr>
      </w:pPr>
      <w:r>
        <w:rPr>
          <w:color w:val="0200C9"/>
          <w:sz w:val="24"/>
          <w:szCs w:val="24"/>
        </w:rPr>
        <w:t xml:space="preserve">Inderbitzin P &amp; Subbarao KV (2014) Verticillium systematics and evolution: how confusion impedes Verticillium wilt management and how to resolve it. Phytopathology 104, 564–574;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95977">
    <w:multiLevelType w:val="hybridMultilevel"/>
    <w:lvl w:ilvl="0" w:tplc="76313472">
      <w:start w:val="1"/>
      <w:numFmt w:val="decimal"/>
      <w:lvlText w:val="%1."/>
      <w:lvlJc w:val="left"/>
      <w:pPr>
        <w:ind w:left="720" w:hanging="360"/>
      </w:pPr>
    </w:lvl>
    <w:lvl w:ilvl="1" w:tplc="76313472" w:tentative="1">
      <w:start w:val="1"/>
      <w:numFmt w:val="lowerLetter"/>
      <w:lvlText w:val="%2."/>
      <w:lvlJc w:val="left"/>
      <w:pPr>
        <w:ind w:left="1440" w:hanging="360"/>
      </w:pPr>
    </w:lvl>
    <w:lvl w:ilvl="2" w:tplc="76313472" w:tentative="1">
      <w:start w:val="1"/>
      <w:numFmt w:val="lowerRoman"/>
      <w:lvlText w:val="%3."/>
      <w:lvlJc w:val="right"/>
      <w:pPr>
        <w:ind w:left="2160" w:hanging="180"/>
      </w:pPr>
    </w:lvl>
    <w:lvl w:ilvl="3" w:tplc="76313472" w:tentative="1">
      <w:start w:val="1"/>
      <w:numFmt w:val="decimal"/>
      <w:lvlText w:val="%4."/>
      <w:lvlJc w:val="left"/>
      <w:pPr>
        <w:ind w:left="2880" w:hanging="360"/>
      </w:pPr>
    </w:lvl>
    <w:lvl w:ilvl="4" w:tplc="76313472" w:tentative="1">
      <w:start w:val="1"/>
      <w:numFmt w:val="lowerLetter"/>
      <w:lvlText w:val="%5."/>
      <w:lvlJc w:val="left"/>
      <w:pPr>
        <w:ind w:left="3600" w:hanging="360"/>
      </w:pPr>
    </w:lvl>
    <w:lvl w:ilvl="5" w:tplc="76313472" w:tentative="1">
      <w:start w:val="1"/>
      <w:numFmt w:val="lowerRoman"/>
      <w:lvlText w:val="%6."/>
      <w:lvlJc w:val="right"/>
      <w:pPr>
        <w:ind w:left="4320" w:hanging="180"/>
      </w:pPr>
    </w:lvl>
    <w:lvl w:ilvl="6" w:tplc="76313472" w:tentative="1">
      <w:start w:val="1"/>
      <w:numFmt w:val="decimal"/>
      <w:lvlText w:val="%7."/>
      <w:lvlJc w:val="left"/>
      <w:pPr>
        <w:ind w:left="5040" w:hanging="360"/>
      </w:pPr>
    </w:lvl>
    <w:lvl w:ilvl="7" w:tplc="76313472" w:tentative="1">
      <w:start w:val="1"/>
      <w:numFmt w:val="lowerLetter"/>
      <w:lvlText w:val="%8."/>
      <w:lvlJc w:val="left"/>
      <w:pPr>
        <w:ind w:left="5760" w:hanging="360"/>
      </w:pPr>
    </w:lvl>
    <w:lvl w:ilvl="8" w:tplc="76313472" w:tentative="1">
      <w:start w:val="1"/>
      <w:numFmt w:val="lowerRoman"/>
      <w:lvlText w:val="%9."/>
      <w:lvlJc w:val="right"/>
      <w:pPr>
        <w:ind w:left="6480" w:hanging="180"/>
      </w:pPr>
    </w:lvl>
  </w:abstractNum>
  <w:abstractNum w:abstractNumId="55695976">
    <w:multiLevelType w:val="hybridMultilevel"/>
    <w:lvl w:ilvl="0" w:tplc="90180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95976">
    <w:abstractNumId w:val="55695976"/>
  </w:num>
  <w:num w:numId="55695977">
    <w:abstractNumId w:val="55695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9297517" Type="http://schemas.microsoft.com/office/2011/relationships/commentsExtended" Target="commentsExtended.xml"/><Relationship Id="rId94166ae75fd43811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