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Helicobasidium brebissonii (Rhizoctonia violacea) (HLCBBR)</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Helicobasidium brebissonii (Teleomorph) is the preferred name to be used according to the seed potato SEWG.</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pest is present in the EU, for example in France (Molot et al., 1975), Germany, Italy (Fiume &amp; Fiume, 2003) and Slovenia (Celar &amp; Valič 2002).</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Asparagus officinalis (ASPOF)</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R. violacea is the cause of violet root rot in asparagus and also a constituent of a fungal complex with F. oxysporum f.sp. asparagi and F. proliferatum. This fungal complex is causing plant decline in the field, especially in rust susceptible varieties (Fiume &amp; Fiume 2003). Dipping and systemic fungicides can be used for field control. The fungus can survive in the soil for at least two years and the severity of disease on third-year and older asparagus plants is very dependent on soil properties and fertilization. Survival of the fungus in the soil also depends on microbial activity (Molot et al., 1975). The fungus also affects other host crops such as sugar beet, carrots and some weeds and can survive by sclerotia in soil for many years.</w:t>
      </w:r>
      <w:r>
        <w:rPr>
          <w:color w:val="0200C9"/>
          <w:sz w:val="24"/>
          <w:szCs w:val="24"/>
        </w:rPr>
        <w:br/>
        <w:t xml:space="preserve">Asparagus crowns can be infected by the fungus and hence are a pathway. If other inoculum sources are controlled and the plants grown in clean soil under enclosed conditions, plants for planting can be a significant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No specific references to yield losses could be found, but it is given as one of the main plant diseases of asparagus in Slovenia (Celar &amp; Valič 2002). In Germany, this pest is of minor economic importance (pers. information of consultants of grower associations).</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The SEWG concluded that H. brebissonii is rare but can have an important impact and is therefore included in some certification schemes.</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 Limited evidence of unacceptable economic impact is available. However experts considered that the pest can have important impacts. Measures would be taken alongside Fusarium (limited extra cost).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approach, based on visual examination and/or testing (see following risk management measures).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(a) The crop has been inspected at an appropriate time during the growing season, a representative sample of the plants have been uprooted and no symptoms of Helicobasidium brebissonii have been observed;</w:t>
      </w:r>
      <w:r>
        <w:rPr>
          <w:color w:val="0200C9"/>
          <w:sz w:val="24"/>
          <w:szCs w:val="24"/>
        </w:rPr>
        <w:br/>
        <w:t xml:space="preserve">or</w:t>
      </w:r>
      <w:r>
        <w:rPr>
          <w:color w:val="0200C9"/>
          <w:sz w:val="24"/>
          <w:szCs w:val="24"/>
        </w:rPr>
        <w:br/>
        <w:t xml:space="preserve">(b) The crop has been inspected at least twice at appropriate times during the growing season and plants showing symptoms of Helicobasidium brebissonii have been rogued out immediately with no symptoms seen at a final inspection of the growing crop;</w:t>
      </w:r>
      <w:r>
        <w:rPr>
          <w:color w:val="0200C9"/>
          <w:sz w:val="24"/>
          <w:szCs w:val="24"/>
        </w:rPr>
        <w:br/>
        <w:t xml:space="preserve">AND</w:t>
      </w:r>
      <w:r>
        <w:rPr>
          <w:color w:val="0200C9"/>
          <w:sz w:val="24"/>
          <w:szCs w:val="24"/>
        </w:rPr>
        <w:br/>
        <w:t xml:space="preserve">(B) The crowns have been inspected before marketing and no symptoms of Helicobasidium brebissonii have been seen.</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Celar F &amp; Valič N (2002) Diseases of asparagus. Sodobno Kmetijstvo 35, 225-227;</w:t>
      </w:r>
    </w:p>
    <w:p>
      <w:pPr>
        <w:numPr>
          <w:ilvl w:val="0"/>
          <w:numId w:val="1"/>
        </w:numPr>
        <w:spacing w:before="0" w:after="0" w:line="240" w:lineRule="auto"/>
        <w:jc w:val="left"/>
        <w:rPr>
          <w:color w:val="0200C9"/>
          <w:sz w:val="24"/>
          <w:szCs w:val="24"/>
        </w:rPr>
      </w:pPr>
      <w:r>
        <w:rPr>
          <w:color w:val="0200C9"/>
          <w:sz w:val="24"/>
          <w:szCs w:val="24"/>
        </w:rPr>
        <w:t xml:space="preserve">Fiume F &amp; Fiume G (2003) Field response of some asparagus varieties to rust, Fusarium crown root rot, and violet root rot. Communications in Agricultural and Applied Biological Sciences 68, 659-671;</w:t>
      </w:r>
    </w:p>
    <w:p>
      <w:pPr>
        <w:numPr>
          <w:ilvl w:val="0"/>
          <w:numId w:val="1"/>
        </w:numPr>
        <w:spacing w:before="0" w:after="0" w:line="240" w:lineRule="auto"/>
        <w:jc w:val="left"/>
        <w:rPr>
          <w:color w:val="0200C9"/>
          <w:sz w:val="24"/>
          <w:szCs w:val="24"/>
        </w:rPr>
      </w:pPr>
      <w:r>
        <w:rPr>
          <w:color w:val="0200C9"/>
          <w:sz w:val="24"/>
          <w:szCs w:val="24"/>
        </w:rPr>
        <w:t xml:space="preserve">Molot P M, Simone J &amp; Leroux J P (1975) Influence of the soil microflora on the development of Rhizoctonia violacea Tul. Annales de Phytopathologie 7, 27-36;</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5369757">
    <w:multiLevelType w:val="hybridMultilevel"/>
    <w:lvl w:ilvl="0" w:tplc="48828464">
      <w:start w:val="1"/>
      <w:numFmt w:val="decimal"/>
      <w:lvlText w:val="%1."/>
      <w:lvlJc w:val="left"/>
      <w:pPr>
        <w:ind w:left="720" w:hanging="360"/>
      </w:pPr>
    </w:lvl>
    <w:lvl w:ilvl="1" w:tplc="48828464" w:tentative="1">
      <w:start w:val="1"/>
      <w:numFmt w:val="lowerLetter"/>
      <w:lvlText w:val="%2."/>
      <w:lvlJc w:val="left"/>
      <w:pPr>
        <w:ind w:left="1440" w:hanging="360"/>
      </w:pPr>
    </w:lvl>
    <w:lvl w:ilvl="2" w:tplc="48828464" w:tentative="1">
      <w:start w:val="1"/>
      <w:numFmt w:val="lowerRoman"/>
      <w:lvlText w:val="%3."/>
      <w:lvlJc w:val="right"/>
      <w:pPr>
        <w:ind w:left="2160" w:hanging="180"/>
      </w:pPr>
    </w:lvl>
    <w:lvl w:ilvl="3" w:tplc="48828464" w:tentative="1">
      <w:start w:val="1"/>
      <w:numFmt w:val="decimal"/>
      <w:lvlText w:val="%4."/>
      <w:lvlJc w:val="left"/>
      <w:pPr>
        <w:ind w:left="2880" w:hanging="360"/>
      </w:pPr>
    </w:lvl>
    <w:lvl w:ilvl="4" w:tplc="48828464" w:tentative="1">
      <w:start w:val="1"/>
      <w:numFmt w:val="lowerLetter"/>
      <w:lvlText w:val="%5."/>
      <w:lvlJc w:val="left"/>
      <w:pPr>
        <w:ind w:left="3600" w:hanging="360"/>
      </w:pPr>
    </w:lvl>
    <w:lvl w:ilvl="5" w:tplc="48828464" w:tentative="1">
      <w:start w:val="1"/>
      <w:numFmt w:val="lowerRoman"/>
      <w:lvlText w:val="%6."/>
      <w:lvlJc w:val="right"/>
      <w:pPr>
        <w:ind w:left="4320" w:hanging="180"/>
      </w:pPr>
    </w:lvl>
    <w:lvl w:ilvl="6" w:tplc="48828464" w:tentative="1">
      <w:start w:val="1"/>
      <w:numFmt w:val="decimal"/>
      <w:lvlText w:val="%7."/>
      <w:lvlJc w:val="left"/>
      <w:pPr>
        <w:ind w:left="5040" w:hanging="360"/>
      </w:pPr>
    </w:lvl>
    <w:lvl w:ilvl="7" w:tplc="48828464" w:tentative="1">
      <w:start w:val="1"/>
      <w:numFmt w:val="lowerLetter"/>
      <w:lvlText w:val="%8."/>
      <w:lvlJc w:val="left"/>
      <w:pPr>
        <w:ind w:left="5760" w:hanging="360"/>
      </w:pPr>
    </w:lvl>
    <w:lvl w:ilvl="8" w:tplc="48828464" w:tentative="1">
      <w:start w:val="1"/>
      <w:numFmt w:val="lowerRoman"/>
      <w:lvlText w:val="%9."/>
      <w:lvlJc w:val="right"/>
      <w:pPr>
        <w:ind w:left="6480" w:hanging="180"/>
      </w:pPr>
    </w:lvl>
  </w:abstractNum>
  <w:abstractNum w:abstractNumId="45369756">
    <w:multiLevelType w:val="hybridMultilevel"/>
    <w:lvl w:ilvl="0" w:tplc="3101896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5369756">
    <w:abstractNumId w:val="45369756"/>
  </w:num>
  <w:num w:numId="45369757">
    <w:abstractNumId w:val="4536975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49171589"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