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sclerotiorum (SCLESC)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Albania, Austria, Belgium, Bulgaria, Croatia, Cyprus, Czech Republic, Denmark, Finland, France, Germany, Greece, Hungary, Iceland, Ireland, Italy, Latvia, Lithuania, Malta, Netherlands, Poland, Portugai, Romania, Slovakia, Spain, Sweden, Switzerland and UK (CABI, 2005).</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Sinapis alba (SINAL)</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white mould or Sclerotinia stem rot (SSR) disease, caused by Sclerotinia sclerotiorum, is an important worldwide diseases in the white mustard crop Sinapis alba, though it is less severe than some other brassica species. The pathogen overwinters as sclerotia in the soil or debris, which germinate and release ascospores which then infect the crop. They are weak pathogens and do not usually infect healthy plant tissue but invade through dead or injured tissue, or spent flower blossoms. Thus sclerotia contamination of seed means they can be sown adjacent to seed and then have the potential to germinate within the susceptible crop. It has a wide host range and is widespread in the environment in weeds and other crops, and is controlled by crop rotation, isolation from other susceptible crops, fungicides and reduction of moisture and and poor air circulation where possible.</w:t>
      </w:r>
      <w:r>
        <w:rPr>
          <w:color w:val="0200C9"/>
          <w:sz w:val="24"/>
          <w:szCs w:val="24"/>
        </w:rPr>
        <w:br/>
        <w:t xml:space="preserve">Research has shown high numbers of ascospores in the air, e.g, 2007 had a severe SSR epidemic in England and high numbers of airborne ascospores were trapped at Rothamsted; while both 2003 and 2004 had a very low incidence of SSR in England and low numbers of airborne ascospores. The severe SSR season of 2007 occurred throughout a large part of Northern Europe and was not predicted in the UK by climate-based disease-forecasts (Atkins et al., 2008).</w:t>
      </w:r>
      <w:r>
        <w:rPr>
          <w:color w:val="0200C9"/>
          <w:sz w:val="24"/>
          <w:szCs w:val="24"/>
        </w:rPr>
        <w:br/>
        <w:t xml:space="preserve">Seed samples have been found to contain up to 432 sclerotia per kilogram of the seed and sclerotia are reported to remain viable and virulent up to 7 years assuring pathogen availability when a host crop is planted.</w:t>
      </w:r>
      <w:r>
        <w:rPr>
          <w:color w:val="0200C9"/>
          <w:sz w:val="24"/>
          <w:szCs w:val="24"/>
        </w:rPr>
        <w:br/>
        <w:t xml:space="preserve">Survival of the pathogen is also possible through infected seeds in the form of mycelial infection of the testa (Sharma et al., 2015).</w:t>
      </w:r>
      <w:r>
        <w:rPr>
          <w:color w:val="0200C9"/>
          <w:sz w:val="24"/>
          <w:szCs w:val="24"/>
        </w:rPr>
        <w:br/>
        <w:t xml:space="preserve">The SEWG concluded that the relative significance of seed as a pathway depends on the level of inoculum already present in the soil, which is likely to vary across the EU depending on cropping history, practice of rotation etc. For some areas it is likely that seed could be a significant pathway of introduction to fields and places of production which are otherwise substantially free from the pathogen.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Frequent occurrences of the disease in mild to severe form have been reported from Denmark, Finland, France, Germany, Sweden and United Kingdom (Sharma et al., 2015) although no details are specific to Sinapis alba. However it is remarked moderate Sclerotinia resistance has been reported in this species. Yield losses in susceptible crops vary and may be as high as 100 per cent. The shattering of prematurely-ripened seed pods before harvest, and loss of quality in the form of smaller, shrunken and chaffy seeds has been observed. Reported yield loss estimates due to Sclerotinia rot (SR) in rapeseed varied from very heavy in Germany. In central and eastern parts of Finland, losses by SR were so great that the cultivation of rapeseed is considered beneficial only in the southern and western areas (Sharma et al.,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Economic impact is considered major, subject to variation between the years.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The relative significance of seed as a pathway depends on the level of inoculum already present in the soil, which is likely to vary across the EU depending on cropping history, practice of rotation etc. For some areas it is likely that seed could be a significant pathway of introduction to fields and places of production which are otherwise free from the pathogen.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Not more than 5 sclerotia or fragments of sclerotia found in a laboratory examination of a representative sample of each seed lot, of a size specified in column 4 of annex II of the Directive.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SEWG noted that some member states currently have additional requirements for thresholds for this pathogen in field inspection.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Atkins SL, Atkins SD, Latunde-Dada AO, Stonard JF &amp; West, JS (2013) Detection and quantification of airborne ascospores of Sclerotinia sclerotiorum by quantitative-PCR. Proceedings of the IOBC/WPRS Working Group "Integrated Control in Oilseed Crops", Paris, France, 29 September-01 October 2008 (Eds Koopmann B, Cook S, Evans N &amp; Ulber B) IOBC/WPRS Bulletin 92, 173-178;</w:t>
      </w:r>
    </w:p>
    <w:p>
      <w:pPr>
        <w:numPr>
          <w:ilvl w:val="0"/>
          <w:numId w:val="1"/>
        </w:numPr>
        <w:spacing w:before="0" w:after="0" w:line="240" w:lineRule="auto"/>
        <w:jc w:val="left"/>
        <w:rPr>
          <w:color w:val="0200C9"/>
          <w:sz w:val="24"/>
          <w:szCs w:val="24"/>
        </w:rPr>
      </w:pPr>
      <w:r>
        <w:rPr>
          <w:color w:val="0200C9"/>
          <w:sz w:val="24"/>
          <w:szCs w:val="24"/>
        </w:rPr>
        <w:t xml:space="preserve">CABI (2005) Distribution Maps of Plant Diseases, 2005, October (Edition 1), pp Map 971 </w:t>
      </w:r>
      <w:hyperlink r:id="rId14916629d3c9998c0" w:history="1">
        <w:r>
          <w:rPr>
            <w:color w:val="0200C9"/>
            <w:sz w:val="24"/>
            <w:szCs w:val="24"/>
          </w:rPr>
          <w:t xml:space="preserve">http://www.cabi.org/isc/abstract/20066500971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Sharma P, Meena PD, Verma PR, Saharan GS, Naresh Mehta N, Singh D &amp; Kumar A (2015) Sclerotinia sclerotiorum (Lib) de Bary causing Sclerotinia rot in oilseed Brassicas: a review. Journal of Oilseed Brassica 6, Special Issue 1-44 ;</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01806">
    <w:multiLevelType w:val="hybridMultilevel"/>
    <w:lvl w:ilvl="0" w:tplc="68815814">
      <w:start w:val="1"/>
      <w:numFmt w:val="decimal"/>
      <w:lvlText w:val="%1."/>
      <w:lvlJc w:val="left"/>
      <w:pPr>
        <w:ind w:left="720" w:hanging="360"/>
      </w:pPr>
    </w:lvl>
    <w:lvl w:ilvl="1" w:tplc="68815814" w:tentative="1">
      <w:start w:val="1"/>
      <w:numFmt w:val="lowerLetter"/>
      <w:lvlText w:val="%2."/>
      <w:lvlJc w:val="left"/>
      <w:pPr>
        <w:ind w:left="1440" w:hanging="360"/>
      </w:pPr>
    </w:lvl>
    <w:lvl w:ilvl="2" w:tplc="68815814" w:tentative="1">
      <w:start w:val="1"/>
      <w:numFmt w:val="lowerRoman"/>
      <w:lvlText w:val="%3."/>
      <w:lvlJc w:val="right"/>
      <w:pPr>
        <w:ind w:left="2160" w:hanging="180"/>
      </w:pPr>
    </w:lvl>
    <w:lvl w:ilvl="3" w:tplc="68815814" w:tentative="1">
      <w:start w:val="1"/>
      <w:numFmt w:val="decimal"/>
      <w:lvlText w:val="%4."/>
      <w:lvlJc w:val="left"/>
      <w:pPr>
        <w:ind w:left="2880" w:hanging="360"/>
      </w:pPr>
    </w:lvl>
    <w:lvl w:ilvl="4" w:tplc="68815814" w:tentative="1">
      <w:start w:val="1"/>
      <w:numFmt w:val="lowerLetter"/>
      <w:lvlText w:val="%5."/>
      <w:lvlJc w:val="left"/>
      <w:pPr>
        <w:ind w:left="3600" w:hanging="360"/>
      </w:pPr>
    </w:lvl>
    <w:lvl w:ilvl="5" w:tplc="68815814" w:tentative="1">
      <w:start w:val="1"/>
      <w:numFmt w:val="lowerRoman"/>
      <w:lvlText w:val="%6."/>
      <w:lvlJc w:val="right"/>
      <w:pPr>
        <w:ind w:left="4320" w:hanging="180"/>
      </w:pPr>
    </w:lvl>
    <w:lvl w:ilvl="6" w:tplc="68815814" w:tentative="1">
      <w:start w:val="1"/>
      <w:numFmt w:val="decimal"/>
      <w:lvlText w:val="%7."/>
      <w:lvlJc w:val="left"/>
      <w:pPr>
        <w:ind w:left="5040" w:hanging="360"/>
      </w:pPr>
    </w:lvl>
    <w:lvl w:ilvl="7" w:tplc="68815814" w:tentative="1">
      <w:start w:val="1"/>
      <w:numFmt w:val="lowerLetter"/>
      <w:lvlText w:val="%8."/>
      <w:lvlJc w:val="left"/>
      <w:pPr>
        <w:ind w:left="5760" w:hanging="360"/>
      </w:pPr>
    </w:lvl>
    <w:lvl w:ilvl="8" w:tplc="68815814" w:tentative="1">
      <w:start w:val="1"/>
      <w:numFmt w:val="lowerRoman"/>
      <w:lvlText w:val="%9."/>
      <w:lvlJc w:val="right"/>
      <w:pPr>
        <w:ind w:left="6480" w:hanging="180"/>
      </w:pPr>
    </w:lvl>
  </w:abstractNum>
  <w:abstractNum w:abstractNumId="79701805">
    <w:multiLevelType w:val="hybridMultilevel"/>
    <w:lvl w:ilvl="0" w:tplc="739112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01805">
    <w:abstractNumId w:val="79701805"/>
  </w:num>
  <w:num w:numId="79701806">
    <w:abstractNumId w:val="797018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8920836" Type="http://schemas.microsoft.com/office/2011/relationships/commentsExtended" Target="commentsExtended.xml"/><Relationship Id="rId14916629d3c9998c0" Type="http://schemas.openxmlformats.org/officeDocument/2006/relationships/hyperlink" Target="http://www.cabi.org/isc/abstract/2006650097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