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Albania, Austria, Belgium, Bulgaria, Croatia, Cyprus, Czech Republic, Denmark, Finland, France, Germany, Greece, Hungary, Iceland, Ireland, Italy, Latvia, Lithuania, Malta, Netherlands, Poland, Portugai, Romania, Slovakia, Spain, Sweden, Switzerland and UK (CABI, 2005).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rapa (BRSRR)</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one of the most important worldwide diseases in the oil crop Brassica rapa.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infection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poor air circulation where possible.</w:t>
      </w:r>
      <w:r>
        <w:rPr>
          <w:color w:val="0200C9"/>
          <w:sz w:val="24"/>
          <w:szCs w:val="24"/>
        </w:rPr>
        <w:br/>
        <w:t xml:space="preserve">Research has shown high numbers of ascospores in the air, e.g, 2007 had a severe SSR epidemic in England and high numbers of airborne ascospores were trapped at Rothamsted; while both 2003 and 2004 had a very low incidence of SSR in England and low numbers of airborne ascospores. The severe SSR season of 2007 occurred throughout a large part of Northern Europe and was not predicted in the UK by climate-based disease-forecasts (Atkins et al., 2008).</w:t>
      </w:r>
      <w:r>
        <w:rPr>
          <w:color w:val="0200C9"/>
          <w:sz w:val="24"/>
          <w:szCs w:val="24"/>
        </w:rPr>
        <w:br/>
        <w:t xml:space="preserve">Seed samples have been found to contain up to 432 sclerotia per kilogram of the seed and sclerotia are reported to remain viable and virulent up to 7 years assuring pathogen availability when a host crop is planted.</w:t>
      </w:r>
      <w:r>
        <w:rPr>
          <w:color w:val="0200C9"/>
          <w:sz w:val="24"/>
          <w:szCs w:val="24"/>
        </w:rPr>
        <w:br/>
        <w:t xml:space="preserve">Survival of the pathogen is also possible through infected seeds in the form of mycelial infection of the testa (Sharma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5 sclerotia or fragments of sclerotia found in a laboratory examination of a representative sample of each seed lot, of a size specified in column 4 of annex II of the Directive.</w:t>
      </w:r>
      <w:r>
        <w:rPr>
          <w:color w:val="0200C9"/>
          <w:sz w:val="24"/>
          <w:szCs w:val="24"/>
        </w:rPr>
        <w:br/>
        <w:t xml:space="preserve">The SEWG had no evidence available to justify the different thresholds between B. napus and B. rapa.</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52586adc4c12728da"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Sharma P, Meena PD, Verma PR, Saharan GS, Naresh Mehta N, Singh D &amp; Kumar A (2015) Sclerotinia sclerotiorum (Lib) de Bary causing Sclerotinia rot in oilseed Brassicas: a review. Journal of Oilseed Brassica 6, Special Issue 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30269">
    <w:multiLevelType w:val="hybridMultilevel"/>
    <w:lvl w:ilvl="0" w:tplc="62361181">
      <w:start w:val="1"/>
      <w:numFmt w:val="decimal"/>
      <w:lvlText w:val="%1."/>
      <w:lvlJc w:val="left"/>
      <w:pPr>
        <w:ind w:left="720" w:hanging="360"/>
      </w:pPr>
    </w:lvl>
    <w:lvl w:ilvl="1" w:tplc="62361181" w:tentative="1">
      <w:start w:val="1"/>
      <w:numFmt w:val="lowerLetter"/>
      <w:lvlText w:val="%2."/>
      <w:lvlJc w:val="left"/>
      <w:pPr>
        <w:ind w:left="1440" w:hanging="360"/>
      </w:pPr>
    </w:lvl>
    <w:lvl w:ilvl="2" w:tplc="62361181" w:tentative="1">
      <w:start w:val="1"/>
      <w:numFmt w:val="lowerRoman"/>
      <w:lvlText w:val="%3."/>
      <w:lvlJc w:val="right"/>
      <w:pPr>
        <w:ind w:left="2160" w:hanging="180"/>
      </w:pPr>
    </w:lvl>
    <w:lvl w:ilvl="3" w:tplc="62361181" w:tentative="1">
      <w:start w:val="1"/>
      <w:numFmt w:val="decimal"/>
      <w:lvlText w:val="%4."/>
      <w:lvlJc w:val="left"/>
      <w:pPr>
        <w:ind w:left="2880" w:hanging="360"/>
      </w:pPr>
    </w:lvl>
    <w:lvl w:ilvl="4" w:tplc="62361181" w:tentative="1">
      <w:start w:val="1"/>
      <w:numFmt w:val="lowerLetter"/>
      <w:lvlText w:val="%5."/>
      <w:lvlJc w:val="left"/>
      <w:pPr>
        <w:ind w:left="3600" w:hanging="360"/>
      </w:pPr>
    </w:lvl>
    <w:lvl w:ilvl="5" w:tplc="62361181" w:tentative="1">
      <w:start w:val="1"/>
      <w:numFmt w:val="lowerRoman"/>
      <w:lvlText w:val="%6."/>
      <w:lvlJc w:val="right"/>
      <w:pPr>
        <w:ind w:left="4320" w:hanging="180"/>
      </w:pPr>
    </w:lvl>
    <w:lvl w:ilvl="6" w:tplc="62361181" w:tentative="1">
      <w:start w:val="1"/>
      <w:numFmt w:val="decimal"/>
      <w:lvlText w:val="%7."/>
      <w:lvlJc w:val="left"/>
      <w:pPr>
        <w:ind w:left="5040" w:hanging="360"/>
      </w:pPr>
    </w:lvl>
    <w:lvl w:ilvl="7" w:tplc="62361181" w:tentative="1">
      <w:start w:val="1"/>
      <w:numFmt w:val="lowerLetter"/>
      <w:lvlText w:val="%8."/>
      <w:lvlJc w:val="left"/>
      <w:pPr>
        <w:ind w:left="5760" w:hanging="360"/>
      </w:pPr>
    </w:lvl>
    <w:lvl w:ilvl="8" w:tplc="62361181" w:tentative="1">
      <w:start w:val="1"/>
      <w:numFmt w:val="lowerRoman"/>
      <w:lvlText w:val="%9."/>
      <w:lvlJc w:val="right"/>
      <w:pPr>
        <w:ind w:left="6480" w:hanging="180"/>
      </w:pPr>
    </w:lvl>
  </w:abstractNum>
  <w:abstractNum w:abstractNumId="40530268">
    <w:multiLevelType w:val="hybridMultilevel"/>
    <w:lvl w:ilvl="0" w:tplc="94969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30268">
    <w:abstractNumId w:val="40530268"/>
  </w:num>
  <w:num w:numId="40530269">
    <w:abstractNumId w:val="405302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6009692" Type="http://schemas.microsoft.com/office/2011/relationships/commentsExtended" Target="commentsExtended.xml"/><Relationship Id="rId52586adc4c12728da" Type="http://schemas.openxmlformats.org/officeDocument/2006/relationships/hyperlink" Target="http://www.cabi.org/isc/abstract/2006650097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