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Cadophora gregata (Phialophora gregata) (PHIAGR)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Oil and fibre plants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Oil and fibre plants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Croatia (2007)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1246622add675ac4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Glycine max (GLXMA)</w:t>
      </w:r>
      <w:r>
        <w:rPr>
          <w:color w:val="000000"/>
          <w:sz w:val="24"/>
          <w:szCs w:val="24"/>
        </w:rPr>
        <w:t xml:space="preserve"> for the Oil and fibre plants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3 - Oil and fibre plants sector: Council Directive 2002/57/EC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Only one reference to the possible seed-borne nature of this pathogen could be found, which said there was a reduced seedling emergence in the field, though no further details were given available in the abstract (Ellis et al., 1979).</w:t>
      </w:r>
      <w:r>
        <w:rPr>
          <w:color w:val="F30000"/>
          <w:sz w:val="24"/>
          <w:szCs w:val="24"/>
        </w:rPr>
        <w:br/>
        <w:t xml:space="preserve">Phialophora gregata is associated with soil residues (Zecchinelli &amp; Gaudenzi, 2002) and these authors implied that as Directive 92/9/EEC (now 2002/57) requires that inert material should not exceed 0.3% of the total weight of a seed sample, this will help with control. The pest is not mentioned by name in the directive. In a rotation experiment, Phialophora gregata infection was lower, plant height and seed size were greater and yield was 13% higher than in an area continually cropped for four years (Kennedy &amp; Lambert, 1981). Incidence of Phialophora gregata is reduced by soil fumigation and seed yields are increased (Gray, 1978). The use of a conventional tillage system significantly decreases the inoculum density of the pathogen. A reduction of the saprophytic population decreases its capability to overwinter and, therefore, results in a lower infection pressure during the next year (Adee &amp; Grau, 1992).</w:t>
      </w:r>
      <w:r>
        <w:rPr>
          <w:color w:val="F30000"/>
          <w:sz w:val="24"/>
          <w:szCs w:val="24"/>
        </w:rPr>
        <w:br/>
        <w:t xml:space="preserve">The above information suggests crop debris or soil borne carry-over sources are more important pathways compared to possible seed-borne infection.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crop debris or soil borne carry-over sources are more important pathways compared to possible seed-borne infection.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Adee E A &amp; Grau C R (1992) Influence of tillage method on inoculum density of Phialophora gregata in overwintering soybean residue. Presentation at the 1992 APS/MPS Annual Meeting, Portland, OR, USA. Phytopathology 82, 1158;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Bonato E &amp; Costamilan L (1996) Performance of soyabean genotypes in areas with different levels of infestation by Phialophora gregata. Fitopatologia Brasileira 21, 275-280;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Ellis MA, Pascha EH, Powell PE &amp; Tenne FD (1979) Internally seedborne fungi of soya bean in Puerto Rico and their effect on seed germination and field emergence. Tropical Agriculture 56, 171-174;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Kennedy B &amp; Lambert J (1981) Influence of brown stem rot and cropping history on soybean performance. Plant Disease 65, 896-897;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McCabe C, Singh A K, Leandro L F, Cianzio S &amp; Graham M (2016) Identifying new sources of resistance to brown stem rot in soybean. Crop Science 56, 2287-2296;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Zecchinelli R &amp; Gaudenzi S (2002) Plant health requirements envisaged by the quality norms for seeds of soyabeans. Sementi Elette 48, 31-33;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197051">
    <w:multiLevelType w:val="hybridMultilevel"/>
    <w:lvl w:ilvl="0" w:tplc="90129631">
      <w:start w:val="1"/>
      <w:numFmt w:val="decimal"/>
      <w:lvlText w:val="%1."/>
      <w:lvlJc w:val="left"/>
      <w:pPr>
        <w:ind w:left="720" w:hanging="360"/>
      </w:pPr>
    </w:lvl>
    <w:lvl w:ilvl="1" w:tplc="90129631" w:tentative="1">
      <w:start w:val="1"/>
      <w:numFmt w:val="lowerLetter"/>
      <w:lvlText w:val="%2."/>
      <w:lvlJc w:val="left"/>
      <w:pPr>
        <w:ind w:left="1440" w:hanging="360"/>
      </w:pPr>
    </w:lvl>
    <w:lvl w:ilvl="2" w:tplc="90129631" w:tentative="1">
      <w:start w:val="1"/>
      <w:numFmt w:val="lowerRoman"/>
      <w:lvlText w:val="%3."/>
      <w:lvlJc w:val="right"/>
      <w:pPr>
        <w:ind w:left="2160" w:hanging="180"/>
      </w:pPr>
    </w:lvl>
    <w:lvl w:ilvl="3" w:tplc="90129631" w:tentative="1">
      <w:start w:val="1"/>
      <w:numFmt w:val="decimal"/>
      <w:lvlText w:val="%4."/>
      <w:lvlJc w:val="left"/>
      <w:pPr>
        <w:ind w:left="2880" w:hanging="360"/>
      </w:pPr>
    </w:lvl>
    <w:lvl w:ilvl="4" w:tplc="90129631" w:tentative="1">
      <w:start w:val="1"/>
      <w:numFmt w:val="lowerLetter"/>
      <w:lvlText w:val="%5."/>
      <w:lvlJc w:val="left"/>
      <w:pPr>
        <w:ind w:left="3600" w:hanging="360"/>
      </w:pPr>
    </w:lvl>
    <w:lvl w:ilvl="5" w:tplc="90129631" w:tentative="1">
      <w:start w:val="1"/>
      <w:numFmt w:val="lowerRoman"/>
      <w:lvlText w:val="%6."/>
      <w:lvlJc w:val="right"/>
      <w:pPr>
        <w:ind w:left="4320" w:hanging="180"/>
      </w:pPr>
    </w:lvl>
    <w:lvl w:ilvl="6" w:tplc="90129631" w:tentative="1">
      <w:start w:val="1"/>
      <w:numFmt w:val="decimal"/>
      <w:lvlText w:val="%7."/>
      <w:lvlJc w:val="left"/>
      <w:pPr>
        <w:ind w:left="5040" w:hanging="360"/>
      </w:pPr>
    </w:lvl>
    <w:lvl w:ilvl="7" w:tplc="90129631" w:tentative="1">
      <w:start w:val="1"/>
      <w:numFmt w:val="lowerLetter"/>
      <w:lvlText w:val="%8."/>
      <w:lvlJc w:val="left"/>
      <w:pPr>
        <w:ind w:left="5760" w:hanging="360"/>
      </w:pPr>
    </w:lvl>
    <w:lvl w:ilvl="8" w:tplc="901296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97050">
    <w:multiLevelType w:val="hybridMultilevel"/>
    <w:lvl w:ilvl="0" w:tplc="82382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197050">
    <w:abstractNumId w:val="65197050"/>
  </w:num>
  <w:num w:numId="65197051">
    <w:abstractNumId w:val="651970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85764187" Type="http://schemas.microsoft.com/office/2011/relationships/commentsExtended" Target="commentsExtended.xml"/><Relationship Id="rId21246622add675ac4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