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924166294003146c4"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27888">
    <w:multiLevelType w:val="hybridMultilevel"/>
    <w:lvl w:ilvl="0" w:tplc="60785301">
      <w:start w:val="1"/>
      <w:numFmt w:val="decimal"/>
      <w:lvlText w:val="%1."/>
      <w:lvlJc w:val="left"/>
      <w:pPr>
        <w:ind w:left="720" w:hanging="360"/>
      </w:pPr>
    </w:lvl>
    <w:lvl w:ilvl="1" w:tplc="60785301" w:tentative="1">
      <w:start w:val="1"/>
      <w:numFmt w:val="lowerLetter"/>
      <w:lvlText w:val="%2."/>
      <w:lvlJc w:val="left"/>
      <w:pPr>
        <w:ind w:left="1440" w:hanging="360"/>
      </w:pPr>
    </w:lvl>
    <w:lvl w:ilvl="2" w:tplc="60785301" w:tentative="1">
      <w:start w:val="1"/>
      <w:numFmt w:val="lowerRoman"/>
      <w:lvlText w:val="%3."/>
      <w:lvlJc w:val="right"/>
      <w:pPr>
        <w:ind w:left="2160" w:hanging="180"/>
      </w:pPr>
    </w:lvl>
    <w:lvl w:ilvl="3" w:tplc="60785301" w:tentative="1">
      <w:start w:val="1"/>
      <w:numFmt w:val="decimal"/>
      <w:lvlText w:val="%4."/>
      <w:lvlJc w:val="left"/>
      <w:pPr>
        <w:ind w:left="2880" w:hanging="360"/>
      </w:pPr>
    </w:lvl>
    <w:lvl w:ilvl="4" w:tplc="60785301" w:tentative="1">
      <w:start w:val="1"/>
      <w:numFmt w:val="lowerLetter"/>
      <w:lvlText w:val="%5."/>
      <w:lvlJc w:val="left"/>
      <w:pPr>
        <w:ind w:left="3600" w:hanging="360"/>
      </w:pPr>
    </w:lvl>
    <w:lvl w:ilvl="5" w:tplc="60785301" w:tentative="1">
      <w:start w:val="1"/>
      <w:numFmt w:val="lowerRoman"/>
      <w:lvlText w:val="%6."/>
      <w:lvlJc w:val="right"/>
      <w:pPr>
        <w:ind w:left="4320" w:hanging="180"/>
      </w:pPr>
    </w:lvl>
    <w:lvl w:ilvl="6" w:tplc="60785301" w:tentative="1">
      <w:start w:val="1"/>
      <w:numFmt w:val="decimal"/>
      <w:lvlText w:val="%7."/>
      <w:lvlJc w:val="left"/>
      <w:pPr>
        <w:ind w:left="5040" w:hanging="360"/>
      </w:pPr>
    </w:lvl>
    <w:lvl w:ilvl="7" w:tplc="60785301" w:tentative="1">
      <w:start w:val="1"/>
      <w:numFmt w:val="lowerLetter"/>
      <w:lvlText w:val="%8."/>
      <w:lvlJc w:val="left"/>
      <w:pPr>
        <w:ind w:left="5760" w:hanging="360"/>
      </w:pPr>
    </w:lvl>
    <w:lvl w:ilvl="8" w:tplc="60785301" w:tentative="1">
      <w:start w:val="1"/>
      <w:numFmt w:val="lowerRoman"/>
      <w:lvlText w:val="%9."/>
      <w:lvlJc w:val="right"/>
      <w:pPr>
        <w:ind w:left="6480" w:hanging="180"/>
      </w:pPr>
    </w:lvl>
  </w:abstractNum>
  <w:abstractNum w:abstractNumId="90527887">
    <w:multiLevelType w:val="hybridMultilevel"/>
    <w:lvl w:ilvl="0" w:tplc="32102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27887">
    <w:abstractNumId w:val="90527887"/>
  </w:num>
  <w:num w:numId="90527888">
    <w:abstractNumId w:val="905278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3480357" Type="http://schemas.microsoft.com/office/2011/relationships/commentsExtended" Target="commentsExtended.xml"/><Relationship Id="rId924166294003146c4"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