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Ditylenchus dipsaci (DITYDI)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Nematoda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Remark for ornamentals:</w:t>
      </w:r>
      <w:r>
        <w:rPr>
          <w:color w:val="0200C9"/>
          <w:sz w:val="24"/>
          <w:szCs w:val="24"/>
        </w:rPr>
        <w:br/>
        <w:t xml:space="preserve">- Allium: There is a large number of Allium species (and within the species, varieties) that are used as ornamentals.</w:t>
      </w:r>
      <w:r>
        <w:rPr>
          <w:color w:val="0200C9"/>
          <w:sz w:val="24"/>
          <w:szCs w:val="24"/>
        </w:rPr>
        <w:br/>
        <w:t xml:space="preserve">Therefore it is suggested to include all Allium for ornamental use in the present evaluation.</w:t>
      </w:r>
      <w:r>
        <w:rPr>
          <w:color w:val="0200C9"/>
          <w:sz w:val="24"/>
          <w:szCs w:val="24"/>
        </w:rPr>
        <w:br/>
        <w:t xml:space="preserve">- Ismene (host plant for D. dipsaci as mentioned in Directive 2000/29/EC) is nowadays named Hymenocallis for cultivated ornamental species and varieties.</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(1993); Belgium (2007); Bulgaria (1993); Croatia (1996); Cyprus (1993); Czech Republic (1994); Denmark (1993); Estonia (1994); Finland (1993); France (2010); Germany (2014); Greece (1996); Hungary (2001); Ireland (1998); Italy (1992); Italy/Sicilia (2002); Latvia (2013); Lithuania (1998); Malta (1995); Netherlands (2015); Poland (2012); Portugal (1992); Portugal/Azores (1994); Romania (2011); Slovakia (2007); Slovenia (2003); Spain (2007); Sweden (1993); United Kingdom (1993); United Kingdom/England (1994); United Kingdom/Scotland (1994)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8654664a61c10fbb3"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Allium (1ALLG)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Ornamental SEWG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for planting (including seeds and bulbs)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A literature and Google search for species of Allium being used as an ornamental plant, as opposed to a vegetable plant, did not locate any specific references. For Allium species used as vegetable crop, more information is available on the pathway. E.g. transmission of D. dipsaci from infested seed to young seedlings for transplanting is well established and planting nematode-free transplants and onion sets is recognized as an important control practice for this pest. Other potential sources of infection are nematode-infested soil, infested debris and infested weeds. Field control can be by rotation, soil solarization or resistant cultivars, however chemical treatments of soil are not economic for large areas (CABI, 2015).</w:t>
      </w:r>
      <w:r>
        <w:rPr>
          <w:color w:val="0200C9"/>
          <w:sz w:val="24"/>
          <w:szCs w:val="24"/>
        </w:rPr>
        <w:br/>
        <w:t xml:space="preserve">There is a large number of Allium species (and within the species, varieties) that are used as ornamental (e.g. search for 'Allium' on the following database: </w:t>
      </w:r>
      <w:hyperlink r:id="rId2119664a61c10fd2b" w:history="1">
        <w:r>
          <w:rPr>
            <w:color w:val="0200C9"/>
            <w:sz w:val="24"/>
            <w:szCs w:val="24"/>
          </w:rPr>
          <w:t xml:space="preserve">http://www.internationalplantnames.com/HTML/English/index_zoek.htm</w:t>
        </w:r>
      </w:hyperlink>
      <w:r>
        <w:rPr>
          <w:color w:val="0200C9"/>
          <w:sz w:val="24"/>
          <w:szCs w:val="24"/>
        </w:rPr>
        <w:t xml:space="preserve">). The Dutch Flowerbulb Inspection Service BKD has included all ornamental Alliums in their inspection with the same standards as the other ornamental flower bulbs on which D. dipsaci is currently regulated. It is suggested to consider that all Allium species, with ornamental varieties, are host plants and are a significant pathway compare to other pathways when suitable control measures are carried out for the alternative inoculum sources.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No</w:t>
      </w:r>
      <w:r>
        <w:rPr>
          <w:color w:val="000000"/>
          <w:sz w:val="24"/>
          <w:szCs w:val="24"/>
          <w:u w:val="single"/>
        </w:rPr>
        <w:br/>
        <w:t xml:space="preserve">Justification:</w:t>
      </w:r>
      <w:r>
        <w:rPr>
          <w:color w:val="000000"/>
          <w:sz w:val="24"/>
          <w:szCs w:val="24"/>
        </w:rPr>
        <w:t xml:space="preserve">
</w:t>
      </w:r>
      <w:r>
        <w:rPr>
          <w:color w:val="0200C9"/>
          <w:sz w:val="24"/>
          <w:szCs w:val="24"/>
        </w:rPr>
        <w:t xml:space="preserve">Documentation is only available on Allium species used as vegetable propagating material. Allium belongs tot the family of Amaryllidaceae.</w:t>
      </w:r>
      <w:r>
        <w:rPr>
          <w:color w:val="0200C9"/>
          <w:sz w:val="24"/>
          <w:szCs w:val="24"/>
        </w:rPr>
        <w:br/>
        <w:t xml:space="preserve">Symptoms of infestation in Amaryllidaceae are similar to those in Narcissus spp.; for example, Galanthus spp. show swellings on their leaves and concentric, brown rings in bulbs (IPPC, 2016).</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Experts considered that the evaluation could be extrapolated from vegetable Allium species and experiences of the Dutch Flowerbulb Inspection Service. They commented that there is probably some variation in susceptibility depending on the species.</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 from vegetable Allium, even though there may be some variation in terms of susceptibility depending on the species.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The plants have been inspected and no symptoms of Ditylenchus dipsaci have been observed on the lot since the beginning of the last complete cycle of vegetation;</w:t>
      </w:r>
      <w:r>
        <w:rPr>
          <w:color w:val="0200C9"/>
          <w:sz w:val="24"/>
          <w:szCs w:val="24"/>
        </w:rPr>
        <w:br/>
        <w:t xml:space="preserve">or</w:t>
      </w:r>
      <w:r>
        <w:rPr>
          <w:color w:val="0200C9"/>
          <w:sz w:val="24"/>
          <w:szCs w:val="24"/>
        </w:rPr>
        <w:br/>
        <w:t xml:space="preserve">(b) The bulbs are found substantially free from symptoms of Ditylenchus dipsaci and packed for sale to the final consumer.</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(2015). Online. Datasheets Ditylenchus dipsaci (stem and bulb nematode). Invasive species compendium. CABI, Wallingford, UK. Available from </w:t>
      </w:r>
      <w:hyperlink r:id="rId4531664a61c10ffe5" w:history="1">
        <w:r>
          <w:rPr>
            <w:color w:val="0200C9"/>
            <w:sz w:val="24"/>
            <w:szCs w:val="24"/>
          </w:rPr>
          <w:t xml:space="preserve">http://www.cabi.org/isc/datasheet/19287</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Ditylenchus dipsaci (Kuhn) Filipvejev;</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9340142">
    <w:multiLevelType w:val="hybridMultilevel"/>
    <w:lvl w:ilvl="0" w:tplc="48490737">
      <w:start w:val="1"/>
      <w:numFmt w:val="decimal"/>
      <w:lvlText w:val="%1."/>
      <w:lvlJc w:val="left"/>
      <w:pPr>
        <w:ind w:left="720" w:hanging="360"/>
      </w:pPr>
    </w:lvl>
    <w:lvl w:ilvl="1" w:tplc="48490737" w:tentative="1">
      <w:start w:val="1"/>
      <w:numFmt w:val="lowerLetter"/>
      <w:lvlText w:val="%2."/>
      <w:lvlJc w:val="left"/>
      <w:pPr>
        <w:ind w:left="1440" w:hanging="360"/>
      </w:pPr>
    </w:lvl>
    <w:lvl w:ilvl="2" w:tplc="48490737" w:tentative="1">
      <w:start w:val="1"/>
      <w:numFmt w:val="lowerRoman"/>
      <w:lvlText w:val="%3."/>
      <w:lvlJc w:val="right"/>
      <w:pPr>
        <w:ind w:left="2160" w:hanging="180"/>
      </w:pPr>
    </w:lvl>
    <w:lvl w:ilvl="3" w:tplc="48490737" w:tentative="1">
      <w:start w:val="1"/>
      <w:numFmt w:val="decimal"/>
      <w:lvlText w:val="%4."/>
      <w:lvlJc w:val="left"/>
      <w:pPr>
        <w:ind w:left="2880" w:hanging="360"/>
      </w:pPr>
    </w:lvl>
    <w:lvl w:ilvl="4" w:tplc="48490737" w:tentative="1">
      <w:start w:val="1"/>
      <w:numFmt w:val="lowerLetter"/>
      <w:lvlText w:val="%5."/>
      <w:lvlJc w:val="left"/>
      <w:pPr>
        <w:ind w:left="3600" w:hanging="360"/>
      </w:pPr>
    </w:lvl>
    <w:lvl w:ilvl="5" w:tplc="48490737" w:tentative="1">
      <w:start w:val="1"/>
      <w:numFmt w:val="lowerRoman"/>
      <w:lvlText w:val="%6."/>
      <w:lvlJc w:val="right"/>
      <w:pPr>
        <w:ind w:left="4320" w:hanging="180"/>
      </w:pPr>
    </w:lvl>
    <w:lvl w:ilvl="6" w:tplc="48490737" w:tentative="1">
      <w:start w:val="1"/>
      <w:numFmt w:val="decimal"/>
      <w:lvlText w:val="%7."/>
      <w:lvlJc w:val="left"/>
      <w:pPr>
        <w:ind w:left="5040" w:hanging="360"/>
      </w:pPr>
    </w:lvl>
    <w:lvl w:ilvl="7" w:tplc="48490737" w:tentative="1">
      <w:start w:val="1"/>
      <w:numFmt w:val="lowerLetter"/>
      <w:lvlText w:val="%8."/>
      <w:lvlJc w:val="left"/>
      <w:pPr>
        <w:ind w:left="5760" w:hanging="360"/>
      </w:pPr>
    </w:lvl>
    <w:lvl w:ilvl="8" w:tplc="48490737" w:tentative="1">
      <w:start w:val="1"/>
      <w:numFmt w:val="lowerRoman"/>
      <w:lvlText w:val="%9."/>
      <w:lvlJc w:val="right"/>
      <w:pPr>
        <w:ind w:left="6480" w:hanging="180"/>
      </w:pPr>
    </w:lvl>
  </w:abstractNum>
  <w:abstractNum w:abstractNumId="89340141">
    <w:multiLevelType w:val="hybridMultilevel"/>
    <w:lvl w:ilvl="0" w:tplc="7840723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9340141">
    <w:abstractNumId w:val="89340141"/>
  </w:num>
  <w:num w:numId="89340142">
    <w:abstractNumId w:val="893401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66623112" Type="http://schemas.microsoft.com/office/2011/relationships/commentsExtended" Target="commentsExtended.xml"/><Relationship Id="rId8654664a61c10fbb3" Type="http://schemas.openxmlformats.org/officeDocument/2006/relationships/hyperlink" Target="https://gd.eppo.int/" TargetMode="External"/><Relationship Id="rId2119664a61c10fd2b" Type="http://schemas.openxmlformats.org/officeDocument/2006/relationships/hyperlink" Target="http://www.internationalplantnames.com/HTML/English/index_zoek.htm" TargetMode="External"/><Relationship Id="rId4531664a61c10ffe5" Type="http://schemas.openxmlformats.org/officeDocument/2006/relationships/hyperlink" Target="http://www.cabi.org/isc/datasheet/19287"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