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Ustilago hordei USTIHO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is present worldwide, including Europe (CABI, 1969).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Avena sativa (AVESA)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Agricultural SEWG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Avena sativa is considered a main host in the CABI datasheet (CABI, 2012). The SEWG recommended to also regulate U. hordei on this host.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recommended to also regulate U. hordei on this host, based on practical experience.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Minor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recommended to also regulate U. hordei on this host. Losses may be unacceptable in some areas and under some conditions.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Control through standards for field inspection and seed, and through seed treatment fungicides. These fungicides are not allowable for organic farming.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expertise available in the SEWG.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for Pre-basic and Basic material, a tolerance for certified material (1 affected plant per 100m2), based on visual examination, with alternative risk management measures.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Pre-basic and Basic material:</w:t>
      </w:r>
      <w:r>
        <w:rPr>
          <w:color w:val="0200C9"/>
          <w:sz w:val="24"/>
          <w:szCs w:val="24"/>
        </w:rPr>
        <w:br/>
        <w:t xml:space="preserve">(a) Field inspection of a representative sample of the plants in the crop at an appropriate time at which no affected plants are seen;</w:t>
      </w:r>
      <w:r>
        <w:rPr>
          <w:color w:val="0200C9"/>
          <w:sz w:val="24"/>
          <w:szCs w:val="24"/>
        </w:rPr>
        <w:br/>
        <w:t xml:space="preserve">or, if this tolerance is not achieved at field inspection,</w:t>
      </w:r>
      <w:r>
        <w:rPr>
          <w:color w:val="0200C9"/>
          <w:sz w:val="24"/>
          <w:szCs w:val="24"/>
        </w:rPr>
        <w:br/>
        <w:t xml:space="preserve">(b) Seed treatment with an approved fungicide or by an approved physical technique known to be effective against Ustilago hordei.</w:t>
      </w:r>
      <w:r>
        <w:rPr>
          <w:color w:val="0200C9"/>
          <w:sz w:val="24"/>
          <w:szCs w:val="24"/>
        </w:rPr>
        <w:br/>
        <w:br/>
        <w:t xml:space="preserve">Certified material:</w:t>
      </w:r>
      <w:r>
        <w:rPr>
          <w:color w:val="0200C9"/>
          <w:sz w:val="24"/>
          <w:szCs w:val="24"/>
        </w:rPr>
        <w:br/>
        <w:t xml:space="preserve">(a) Field inspection of a representative sample of the plants in the crop at an appropriate time at which not more than 1 affected plant per 100m2 is seen;</w:t>
      </w:r>
      <w:r>
        <w:rPr>
          <w:color w:val="0200C9"/>
          <w:sz w:val="24"/>
          <w:szCs w:val="24"/>
        </w:rPr>
        <w:br/>
        <w:t xml:space="preserve">or, if this tolerance is not achieved at field inspection,</w:t>
      </w:r>
      <w:r>
        <w:rPr>
          <w:color w:val="0200C9"/>
          <w:sz w:val="24"/>
          <w:szCs w:val="24"/>
        </w:rPr>
        <w:br/>
        <w:t xml:space="preserve">(b) Seed treatment with an approved fungicide or by an approved physical technique known to be effective against Ustilago hordei.</w:t>
      </w:r>
      <w:r>
        <w:rPr>
          <w:color w:val="0200C9"/>
          <w:sz w:val="24"/>
          <w:szCs w:val="24"/>
        </w:rPr>
        <w:br/>
        <w:br/>
        <w:t xml:space="preserve">Inspection of pre and post control plots may be used as an additional risk management measure to avoid any build-up of infection levels during the chain of propagation.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(2012) Datasheet report for Ustilago hordei (covered smut of barley), Crop Protection Compendium;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673488">
    <w:multiLevelType w:val="hybridMultilevel"/>
    <w:lvl w:ilvl="0" w:tplc="23560493">
      <w:start w:val="1"/>
      <w:numFmt w:val="decimal"/>
      <w:lvlText w:val="%1."/>
      <w:lvlJc w:val="left"/>
      <w:pPr>
        <w:ind w:left="720" w:hanging="360"/>
      </w:pPr>
    </w:lvl>
    <w:lvl w:ilvl="1" w:tplc="23560493" w:tentative="1">
      <w:start w:val="1"/>
      <w:numFmt w:val="lowerLetter"/>
      <w:lvlText w:val="%2."/>
      <w:lvlJc w:val="left"/>
      <w:pPr>
        <w:ind w:left="1440" w:hanging="360"/>
      </w:pPr>
    </w:lvl>
    <w:lvl w:ilvl="2" w:tplc="23560493" w:tentative="1">
      <w:start w:val="1"/>
      <w:numFmt w:val="lowerRoman"/>
      <w:lvlText w:val="%3."/>
      <w:lvlJc w:val="right"/>
      <w:pPr>
        <w:ind w:left="2160" w:hanging="180"/>
      </w:pPr>
    </w:lvl>
    <w:lvl w:ilvl="3" w:tplc="23560493" w:tentative="1">
      <w:start w:val="1"/>
      <w:numFmt w:val="decimal"/>
      <w:lvlText w:val="%4."/>
      <w:lvlJc w:val="left"/>
      <w:pPr>
        <w:ind w:left="2880" w:hanging="360"/>
      </w:pPr>
    </w:lvl>
    <w:lvl w:ilvl="4" w:tplc="23560493" w:tentative="1">
      <w:start w:val="1"/>
      <w:numFmt w:val="lowerLetter"/>
      <w:lvlText w:val="%5."/>
      <w:lvlJc w:val="left"/>
      <w:pPr>
        <w:ind w:left="3600" w:hanging="360"/>
      </w:pPr>
    </w:lvl>
    <w:lvl w:ilvl="5" w:tplc="23560493" w:tentative="1">
      <w:start w:val="1"/>
      <w:numFmt w:val="lowerRoman"/>
      <w:lvlText w:val="%6."/>
      <w:lvlJc w:val="right"/>
      <w:pPr>
        <w:ind w:left="4320" w:hanging="180"/>
      </w:pPr>
    </w:lvl>
    <w:lvl w:ilvl="6" w:tplc="23560493" w:tentative="1">
      <w:start w:val="1"/>
      <w:numFmt w:val="decimal"/>
      <w:lvlText w:val="%7."/>
      <w:lvlJc w:val="left"/>
      <w:pPr>
        <w:ind w:left="5040" w:hanging="360"/>
      </w:pPr>
    </w:lvl>
    <w:lvl w:ilvl="7" w:tplc="23560493" w:tentative="1">
      <w:start w:val="1"/>
      <w:numFmt w:val="lowerLetter"/>
      <w:lvlText w:val="%8."/>
      <w:lvlJc w:val="left"/>
      <w:pPr>
        <w:ind w:left="5760" w:hanging="360"/>
      </w:pPr>
    </w:lvl>
    <w:lvl w:ilvl="8" w:tplc="235604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73487">
    <w:multiLevelType w:val="hybridMultilevel"/>
    <w:lvl w:ilvl="0" w:tplc="829580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673487">
    <w:abstractNumId w:val="22673487"/>
  </w:num>
  <w:num w:numId="22673488">
    <w:abstractNumId w:val="226734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94458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