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Gibberella fujikuroi (Fusarium fujikuroi) GIBBFU</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Fungi</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Cereals (including rice)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Cereals (including rice)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pest is present in Austria, Bulgaria, Croatia, Czech Republic, France, Germany, Greece, Hungary, Italy, Netherlands, Poland, Portugal, Romania, Spain, UK (CABI, 2014). Experts confirmed that the pest is present worldwide on maize. It is the main fusarium species in south of Europe and in tropical areas, in areas where rice is grown. Fumunisines mycotoxines produced by F. fujikuroi can be used to determine where the fungus is present.</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Oryza sativa (ORYSA)</w:t>
      </w:r>
      <w:r>
        <w:rPr>
          <w:color w:val="000000"/>
          <w:sz w:val="24"/>
          <w:szCs w:val="24"/>
        </w:rPr>
        <w:t xml:space="preserve"> for the Cereals (including rice)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2 - Cereals sector: Council Directive 66/402/EEC</w:t>
      </w:r>
      <w:r>
        <w:rPr>
          <w:color w:val="000000"/>
          <w:sz w:val="24"/>
          <w:szCs w:val="24"/>
          <w:u w:val="single"/>
        </w:rPr>
        <w:br/>
        <w:t xml:space="preserve">Plants for planting:</w:t>
      </w:r>
      <w:r>
        <w:rPr>
          <w:color w:val="000000"/>
          <w:sz w:val="24"/>
          <w:szCs w:val="24"/>
        </w:rPr>
        <w:t xml:space="preserve">
</w:t>
      </w:r>
      <w:r>
        <w:rPr>
          <w:color w:val="0200C9"/>
          <w:sz w:val="24"/>
          <w:szCs w:val="24"/>
        </w:rPr>
        <w:t xml:space="preserve">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No</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G. fujikuroi has several host plants from different families (polyphagous). Rice is one of the main host plants but maize and sorghum are very common hosts. G. fujikuroi is a seed-borne pathogen causing seedling rot. Transmission of G. fujikuroi by rice seeds was demonstrated. In fields free from surviving spores from the previous crop and infected debris, infected seeds would be considered to be the main source of infection (CABI, 2014). If fields are infected from the previous crop (e.g. if maize was the previous crop cultivated), pest treatment and stress management (and sometimes crop rotation with non-host crop) are available to reduce the risk of infection from this source. Indeed the fungus is relatively short-lived in soil (APS Crop Compendium of Rice Diseases, 1992). Aerial infection by ascospores later in the season cannot be prevented; however seed tests are available to screen out any infected stocks to below the directive tolerances. The SEWG concluded that rotation with rice and maize increases the level of spores. In case of a rotation with wheat (in Camargue, France) or alfalfa, rice seeds can be considered as a significant pathway compared to other pathways. In absence of rotation, or in case of rotation with highly sensitive crops, main source of infection will come from the soil. Rice seeds are considered to be a significant pathway compared to other pathways.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There have been a number of estimates of losses due this fungus in the world. Reports of losses outside EU ranged from 1% to 95% (e.g. 20-50% yield losses in Japan, 3% to 95% in India, 40% in Nepal, 6.7-58% in Pakistan, 70% to almost complete loss in Australia, up to 75% in Iran, 10%-15% yield losses in Turkey) (APS Crop Compendium of Rice Diseases, 1992; CABI, 2014; Gupta et. al, 2015; Singh and Sunder, 2012). Impacts in the EU are also reported: 5% to 23% in Spain (Singh and Sunder, 2012). F. fujikuroi re-emerged recently as a significantly important disease in Asia and other rice growing countries of the world, especially on aromatic cultivars (the 95% of yiels losses in India was observed on Basmati varieties). The SEWG commented that economic impact is mainly linked to the presence of Fumonisine.</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The pest was regulated in the EU in 2012 on the basis of its unacceptable economic impact and the absence of available plant protection products.</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Seed can be the main pathway if rotation has been used to reduce the importance of carryover of inoculum.</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Basic material:</w:t>
      </w:r>
      <w:r>
        <w:rPr>
          <w:color w:val="0200C9"/>
          <w:sz w:val="24"/>
          <w:szCs w:val="24"/>
        </w:rPr>
        <w:br/>
        <w:t xml:space="preserve">Not more than 2 symptomatic plants per 200m2 seen during field inspections at appropriate times of a representative sample of the plants in each crop</w:t>
      </w:r>
      <w:r>
        <w:rPr>
          <w:color w:val="0200C9"/>
          <w:sz w:val="24"/>
          <w:szCs w:val="24"/>
        </w:rPr>
        <w:br/>
        <w:t xml:space="preserve">Certified material of the first generation (C1):</w:t>
      </w:r>
      <w:r>
        <w:rPr>
          <w:color w:val="0200C9"/>
          <w:sz w:val="24"/>
          <w:szCs w:val="24"/>
        </w:rPr>
        <w:br/>
        <w:t xml:space="preserve">Not more than 4 symptomatic plants per 200m2 seen during field inspections at appropriate times of a representative sample of the plants in each crop</w:t>
      </w:r>
      <w:r>
        <w:rPr>
          <w:color w:val="0200C9"/>
          <w:sz w:val="24"/>
          <w:szCs w:val="24"/>
        </w:rPr>
        <w:br/>
        <w:t xml:space="preserve">Certified material of the second generation (C2):</w:t>
      </w:r>
      <w:r>
        <w:rPr>
          <w:color w:val="0200C9"/>
          <w:sz w:val="24"/>
          <w:szCs w:val="24"/>
        </w:rPr>
        <w:br/>
        <w:t xml:space="preserve">Not more than 8 symptomatic plants per 200m2 seen during field inspections at appropriate times of a representative sample of the plants in each crop</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No</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Measures do not need to be specified (see defined thresholds).</w:t>
      </w:r>
      <w:r>
        <w:rPr>
          <w:b/>
          <w:bCs/>
          <w:color w:val="000000"/>
          <w:sz w:val="24"/>
          <w:szCs w:val="24"/>
          <w:u w:val="single"/>
        </w:rPr>
        <w:b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APS Crop Compendium of Rice Diseases (1992) The American Phytopathological Society;</w:t>
      </w:r>
    </w:p>
    <w:p>
      <w:pPr>
        <w:numPr>
          <w:ilvl w:val="0"/>
          <w:numId w:val="1"/>
        </w:numPr>
        <w:spacing w:before="0" w:after="0" w:line="240" w:lineRule="auto"/>
        <w:jc w:val="left"/>
        <w:rPr>
          <w:color w:val="0200C9"/>
          <w:sz w:val="24"/>
          <w:szCs w:val="24"/>
        </w:rPr>
      </w:pPr>
      <w:r>
        <w:rPr>
          <w:color w:val="0200C9"/>
          <w:sz w:val="24"/>
          <w:szCs w:val="24"/>
        </w:rPr>
        <w:t xml:space="preserve">CABI (Centre for Agricultural Bioscience International), online, 2014. Datasheets Gibberella fujikuroi (bakanae disease of rice). Invasive species compendium. CABI, Wallingford, UK. Available from </w:t>
      </w:r>
      <w:hyperlink r:id="rId13306ab31584594ba" w:history="1">
        <w:r>
          <w:rPr>
            <w:color w:val="0200C9"/>
            <w:sz w:val="24"/>
            <w:szCs w:val="24"/>
          </w:rPr>
          <w:t xml:space="preserve">http://www.cabi.org/isc/datasheet/25158</w:t>
        </w:r>
      </w:hyperlink>
      <w:r>
        <w:rPr>
          <w:color w:val="0200C9"/>
          <w:sz w:val="24"/>
          <w:szCs w:val="24"/>
        </w:rPr>
        <w:t xml:space="preserve">;</w:t>
      </w:r>
    </w:p>
    <w:p>
      <w:pPr>
        <w:numPr>
          <w:ilvl w:val="0"/>
          <w:numId w:val="1"/>
        </w:numPr>
        <w:spacing w:before="0" w:after="0" w:line="240" w:lineRule="auto"/>
        <w:jc w:val="left"/>
        <w:rPr>
          <w:color w:val="0200C9"/>
          <w:sz w:val="24"/>
          <w:szCs w:val="24"/>
        </w:rPr>
      </w:pPr>
      <w:r>
        <w:rPr>
          <w:color w:val="0200C9"/>
          <w:sz w:val="24"/>
          <w:szCs w:val="24"/>
        </w:rPr>
        <w:t xml:space="preserve">Gupta AK, Solanki IS, Bashyal BM Singh Y and Srivastava K (2015) Bakanae of rice - an emerging disease in Asia. The Journal of Animal &amp; Plant Sciences, 25(6). Page: 1499-1514. ISSN: 1018-7081;</w:t>
      </w:r>
    </w:p>
    <w:p>
      <w:pPr>
        <w:numPr>
          <w:ilvl w:val="0"/>
          <w:numId w:val="1"/>
        </w:numPr>
        <w:spacing w:before="0" w:after="0" w:line="240" w:lineRule="auto"/>
        <w:jc w:val="left"/>
        <w:rPr>
          <w:color w:val="0200C9"/>
          <w:sz w:val="24"/>
          <w:szCs w:val="24"/>
        </w:rPr>
      </w:pPr>
      <w:r>
        <w:rPr>
          <w:color w:val="0200C9"/>
          <w:sz w:val="24"/>
          <w:szCs w:val="24"/>
        </w:rPr>
        <w:t xml:space="preserve">Singh R and Sunder S (2012) Foot rot and bakanae of rice: an overview. Indian Society of Mycology and Plant Pathology. Rev. Plant Pathol. Vol. 5;</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0433967">
    <w:multiLevelType w:val="hybridMultilevel"/>
    <w:lvl w:ilvl="0" w:tplc="71580568">
      <w:start w:val="1"/>
      <w:numFmt w:val="decimal"/>
      <w:lvlText w:val="%1."/>
      <w:lvlJc w:val="left"/>
      <w:pPr>
        <w:ind w:left="720" w:hanging="360"/>
      </w:pPr>
    </w:lvl>
    <w:lvl w:ilvl="1" w:tplc="71580568" w:tentative="1">
      <w:start w:val="1"/>
      <w:numFmt w:val="lowerLetter"/>
      <w:lvlText w:val="%2."/>
      <w:lvlJc w:val="left"/>
      <w:pPr>
        <w:ind w:left="1440" w:hanging="360"/>
      </w:pPr>
    </w:lvl>
    <w:lvl w:ilvl="2" w:tplc="71580568" w:tentative="1">
      <w:start w:val="1"/>
      <w:numFmt w:val="lowerRoman"/>
      <w:lvlText w:val="%3."/>
      <w:lvlJc w:val="right"/>
      <w:pPr>
        <w:ind w:left="2160" w:hanging="180"/>
      </w:pPr>
    </w:lvl>
    <w:lvl w:ilvl="3" w:tplc="71580568" w:tentative="1">
      <w:start w:val="1"/>
      <w:numFmt w:val="decimal"/>
      <w:lvlText w:val="%4."/>
      <w:lvlJc w:val="left"/>
      <w:pPr>
        <w:ind w:left="2880" w:hanging="360"/>
      </w:pPr>
    </w:lvl>
    <w:lvl w:ilvl="4" w:tplc="71580568" w:tentative="1">
      <w:start w:val="1"/>
      <w:numFmt w:val="lowerLetter"/>
      <w:lvlText w:val="%5."/>
      <w:lvlJc w:val="left"/>
      <w:pPr>
        <w:ind w:left="3600" w:hanging="360"/>
      </w:pPr>
    </w:lvl>
    <w:lvl w:ilvl="5" w:tplc="71580568" w:tentative="1">
      <w:start w:val="1"/>
      <w:numFmt w:val="lowerRoman"/>
      <w:lvlText w:val="%6."/>
      <w:lvlJc w:val="right"/>
      <w:pPr>
        <w:ind w:left="4320" w:hanging="180"/>
      </w:pPr>
    </w:lvl>
    <w:lvl w:ilvl="6" w:tplc="71580568" w:tentative="1">
      <w:start w:val="1"/>
      <w:numFmt w:val="decimal"/>
      <w:lvlText w:val="%7."/>
      <w:lvlJc w:val="left"/>
      <w:pPr>
        <w:ind w:left="5040" w:hanging="360"/>
      </w:pPr>
    </w:lvl>
    <w:lvl w:ilvl="7" w:tplc="71580568" w:tentative="1">
      <w:start w:val="1"/>
      <w:numFmt w:val="lowerLetter"/>
      <w:lvlText w:val="%8."/>
      <w:lvlJc w:val="left"/>
      <w:pPr>
        <w:ind w:left="5760" w:hanging="360"/>
      </w:pPr>
    </w:lvl>
    <w:lvl w:ilvl="8" w:tplc="71580568" w:tentative="1">
      <w:start w:val="1"/>
      <w:numFmt w:val="lowerRoman"/>
      <w:lvlText w:val="%9."/>
      <w:lvlJc w:val="right"/>
      <w:pPr>
        <w:ind w:left="6480" w:hanging="180"/>
      </w:pPr>
    </w:lvl>
  </w:abstractNum>
  <w:abstractNum w:abstractNumId="50433966">
    <w:multiLevelType w:val="hybridMultilevel"/>
    <w:lvl w:ilvl="0" w:tplc="3128342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0433966">
    <w:abstractNumId w:val="50433966"/>
  </w:num>
  <w:num w:numId="50433967">
    <w:abstractNumId w:val="5043396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18789581" Type="http://schemas.microsoft.com/office/2011/relationships/commentsExtended" Target="commentsExtended.xml"/><Relationship Id="rId13306ab31584594ba" Type="http://schemas.openxmlformats.org/officeDocument/2006/relationships/hyperlink" Target="http://www.cabi.org/isc/datasheet/25158"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