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PVY has a relatively wide host range including mainly Solanaceous crops as well as Solanaceous and non-Solanaceous weeds, the latter constituting a natural virus reservoir (Kaliciak &amp; Syller, 2009; Kerlan, 2006). PVY is an unusual potyvirus in having numerous vector aphid species (Shukla et al., 1994), but in most areas and seasons, Myzus persicae is the most important vector given that it is widespread and that its efficiency of transmission is high. In tomato and pepper crops, solanaceous weeds, often primarily infected from potato crops, are the sources of infection in many countries (e.g. S. nigrum and S. dulcamara in Southern Europe) (Marchoux et al., 1976; Gebre-Selassie et al., 1985; 1987).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prominent role of weed reservoir hosts. A 'substantially free from' requirement would be sufficient. Hence, it is recommended that the virus in pepper is treated similar to tomato and eggplant. For these hosts, the “substantially free from requirement” was considered to be appropriate by all countries answering to the questionnaire.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(1997) Florida Agricultural Experiment Station Monograph Series 18, 467;</w:t>
      </w:r>
    </w:p>
    <w:p>
      <w:pPr>
        <w:numPr>
          <w:ilvl w:val="0"/>
          <w:numId w:val="1"/>
        </w:numPr>
        <w:spacing w:before="0" w:after="0" w:line="240" w:lineRule="auto"/>
        <w:jc w:val="left"/>
        <w:rPr>
          <w:color w:val="0200C9"/>
          <w:sz w:val="24"/>
          <w:szCs w:val="24"/>
        </w:rPr>
      </w:pPr>
      <w:r>
        <w:rPr>
          <w:color w:val="0200C9"/>
          <w:sz w:val="24"/>
          <w:szCs w:val="24"/>
        </w:rPr>
        <w:t xml:space="preserve">Gebre-Selassie K, Marchoux G, Delecolle B &amp; Pochard E (1985) Variabilité naturelle des souches de virus Y dans les cultures de piment du Sud-Est de la France: caractérisation et classification en pathotypes. Agronomie 5, 621;</w:t>
      </w:r>
    </w:p>
    <w:p>
      <w:pPr>
        <w:numPr>
          <w:ilvl w:val="0"/>
          <w:numId w:val="1"/>
        </w:numPr>
        <w:spacing w:before="0" w:after="0" w:line="240" w:lineRule="auto"/>
        <w:jc w:val="left"/>
        <w:rPr>
          <w:color w:val="0200C9"/>
          <w:sz w:val="24"/>
          <w:szCs w:val="24"/>
        </w:rPr>
      </w:pPr>
      <w:r>
        <w:rPr>
          <w:color w:val="0200C9"/>
          <w:sz w:val="24"/>
          <w:szCs w:val="24"/>
        </w:rPr>
        <w:t xml:space="preserve">Gebre-Selassie K, Marchoux G, Laterrot H &amp; Blancard D (1987) Graves attaques de la Tomate par des souches nécrogènes du Virus Y de la Pomme de terre. PHM-Revue Horticole 281, 43;</w:t>
      </w:r>
    </w:p>
    <w:p>
      <w:pPr>
        <w:numPr>
          <w:ilvl w:val="0"/>
          <w:numId w:val="1"/>
        </w:numPr>
        <w:spacing w:before="0" w:after="0" w:line="240" w:lineRule="auto"/>
        <w:jc w:val="left"/>
        <w:rPr>
          <w:color w:val="0200C9"/>
          <w:sz w:val="24"/>
          <w:szCs w:val="24"/>
        </w:rPr>
      </w:pPr>
      <w:r>
        <w:rPr>
          <w:color w:val="0200C9"/>
          <w:sz w:val="24"/>
          <w:szCs w:val="24"/>
        </w:rPr>
        <w:t xml:space="preserve">Kaliciak A &amp; Syller J (2009) New hosts of Potato virus Y (PVY) among common wild plants in Europe. European Journal of Plant Pathology 124, 707–13;</w:t>
      </w:r>
    </w:p>
    <w:p>
      <w:pPr>
        <w:numPr>
          <w:ilvl w:val="0"/>
          <w:numId w:val="1"/>
        </w:numPr>
        <w:spacing w:before="0" w:after="0" w:line="240" w:lineRule="auto"/>
        <w:jc w:val="left"/>
        <w:rPr>
          <w:color w:val="0200C9"/>
          <w:sz w:val="24"/>
          <w:szCs w:val="24"/>
        </w:rPr>
      </w:pPr>
      <w:r>
        <w:rPr>
          <w:color w:val="0200C9"/>
          <w:sz w:val="24"/>
          <w:szCs w:val="24"/>
        </w:rPr>
        <w:t xml:space="preserve">Kerlan C (2006) Potato virus Y. CMI/AAB Descriptions of Plant Viruses no. 414;</w:t>
      </w:r>
    </w:p>
    <w:p>
      <w:pPr>
        <w:numPr>
          <w:ilvl w:val="0"/>
          <w:numId w:val="1"/>
        </w:numPr>
        <w:spacing w:before="0" w:after="0" w:line="240" w:lineRule="auto"/>
        <w:jc w:val="left"/>
        <w:rPr>
          <w:color w:val="0200C9"/>
          <w:sz w:val="24"/>
          <w:szCs w:val="24"/>
        </w:rPr>
      </w:pPr>
      <w:r>
        <w:rPr>
          <w:color w:val="0200C9"/>
          <w:sz w:val="24"/>
          <w:szCs w:val="24"/>
        </w:rPr>
        <w:t xml:space="preserve">Marchoux G, Gebre-Selassie K &amp; Quiot JB (1976) Observations préliminaires concernant les souches et les plantes réservoirs du virus Y de la Pomme-de-terre dans le Sud-Est de la France. Agriculturae Conspectus Scientificus 39, 541;</w:t>
      </w:r>
    </w:p>
    <w:p>
      <w:pPr>
        <w:numPr>
          <w:ilvl w:val="0"/>
          <w:numId w:val="1"/>
        </w:numPr>
        <w:spacing w:before="0" w:after="0" w:line="240" w:lineRule="auto"/>
        <w:jc w:val="left"/>
        <w:rPr>
          <w:color w:val="0200C9"/>
          <w:sz w:val="24"/>
          <w:szCs w:val="24"/>
        </w:rPr>
      </w:pPr>
      <w:r>
        <w:rPr>
          <w:color w:val="0200C9"/>
          <w:sz w:val="24"/>
          <w:szCs w:val="24"/>
        </w:rPr>
        <w:t xml:space="preserve">Shukla DD, Ward CW and Brunt AA (1994) The Potyviridae. CAB International, Wallingford,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897386">
    <w:multiLevelType w:val="hybridMultilevel"/>
    <w:lvl w:ilvl="0" w:tplc="44111591">
      <w:start w:val="1"/>
      <w:numFmt w:val="decimal"/>
      <w:lvlText w:val="%1."/>
      <w:lvlJc w:val="left"/>
      <w:pPr>
        <w:ind w:left="720" w:hanging="360"/>
      </w:pPr>
    </w:lvl>
    <w:lvl w:ilvl="1" w:tplc="44111591" w:tentative="1">
      <w:start w:val="1"/>
      <w:numFmt w:val="lowerLetter"/>
      <w:lvlText w:val="%2."/>
      <w:lvlJc w:val="left"/>
      <w:pPr>
        <w:ind w:left="1440" w:hanging="360"/>
      </w:pPr>
    </w:lvl>
    <w:lvl w:ilvl="2" w:tplc="44111591" w:tentative="1">
      <w:start w:val="1"/>
      <w:numFmt w:val="lowerRoman"/>
      <w:lvlText w:val="%3."/>
      <w:lvlJc w:val="right"/>
      <w:pPr>
        <w:ind w:left="2160" w:hanging="180"/>
      </w:pPr>
    </w:lvl>
    <w:lvl w:ilvl="3" w:tplc="44111591" w:tentative="1">
      <w:start w:val="1"/>
      <w:numFmt w:val="decimal"/>
      <w:lvlText w:val="%4."/>
      <w:lvlJc w:val="left"/>
      <w:pPr>
        <w:ind w:left="2880" w:hanging="360"/>
      </w:pPr>
    </w:lvl>
    <w:lvl w:ilvl="4" w:tplc="44111591" w:tentative="1">
      <w:start w:val="1"/>
      <w:numFmt w:val="lowerLetter"/>
      <w:lvlText w:val="%5."/>
      <w:lvlJc w:val="left"/>
      <w:pPr>
        <w:ind w:left="3600" w:hanging="360"/>
      </w:pPr>
    </w:lvl>
    <w:lvl w:ilvl="5" w:tplc="44111591" w:tentative="1">
      <w:start w:val="1"/>
      <w:numFmt w:val="lowerRoman"/>
      <w:lvlText w:val="%6."/>
      <w:lvlJc w:val="right"/>
      <w:pPr>
        <w:ind w:left="4320" w:hanging="180"/>
      </w:pPr>
    </w:lvl>
    <w:lvl w:ilvl="6" w:tplc="44111591" w:tentative="1">
      <w:start w:val="1"/>
      <w:numFmt w:val="decimal"/>
      <w:lvlText w:val="%7."/>
      <w:lvlJc w:val="left"/>
      <w:pPr>
        <w:ind w:left="5040" w:hanging="360"/>
      </w:pPr>
    </w:lvl>
    <w:lvl w:ilvl="7" w:tplc="44111591" w:tentative="1">
      <w:start w:val="1"/>
      <w:numFmt w:val="lowerLetter"/>
      <w:lvlText w:val="%8."/>
      <w:lvlJc w:val="left"/>
      <w:pPr>
        <w:ind w:left="5760" w:hanging="360"/>
      </w:pPr>
    </w:lvl>
    <w:lvl w:ilvl="8" w:tplc="44111591" w:tentative="1">
      <w:start w:val="1"/>
      <w:numFmt w:val="lowerRoman"/>
      <w:lvlText w:val="%9."/>
      <w:lvlJc w:val="right"/>
      <w:pPr>
        <w:ind w:left="6480" w:hanging="180"/>
      </w:pPr>
    </w:lvl>
  </w:abstractNum>
  <w:abstractNum w:abstractNumId="64897385">
    <w:multiLevelType w:val="hybridMultilevel"/>
    <w:lvl w:ilvl="0" w:tplc="67345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897385">
    <w:abstractNumId w:val="64897385"/>
  </w:num>
  <w:num w:numId="64897386">
    <w:abstractNumId w:val="648973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13526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