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allii (BOTRAL)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Usually, B. allii is associated with "neck rot" of onions. Neck rot symptoms may also be induced by other Botrytis species, like B. byssoidea (Schwartz&amp;Mohan 2008: APS compendium of Onion and Garlic diseases). Therefore the organism listed (here B. allii) is only one part of the problem.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Denmark, Finland, France, Germany, Italy, Netherlands, poland, Romania and UK (CABI 1987).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Finland, Botrytis allii caused 15-20% damage during storage in 1975-79 and was present on 80-90% of the spoilt harvested onions. The early weight losses during storage were mostly due to storage pathogens which spread via the onion sets used for propagation. This could be prevented by soaking the sets in benomyl solution [no longer registered in EU] before planting out. The unusually high fungus content of the sets resulted in a reduced yield (Tahvonen, 1981).</w:t>
      </w:r>
      <w:r>
        <w:rPr>
          <w:color w:val="0200C9"/>
          <w:sz w:val="24"/>
          <w:szCs w:val="24"/>
        </w:rPr>
        <w:br/>
        <w:t xml:space="preserve">The incidence of umbel rot (flower blight) caused by Botrytis allii and B. cinerea ranged from 0.08 to 7.23% (average 4.26%) in the former GDR during 1984-88. Compared with healthy plants, seed yields of affected plants decreased by 44.2%. 1000-seed weight decreased by 17.4%, and other seed quality parameters (germination rate and ability, conductivity, and emergence) were adversely affected (Rudolph,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p>
      <w:pPr>
        <w:numPr>
          <w:ilvl w:val="0"/>
          <w:numId w:val="1"/>
        </w:numPr>
        <w:spacing w:before="0" w:after="0" w:line="240" w:lineRule="auto"/>
        <w:jc w:val="left"/>
        <w:rPr>
          <w:color w:val="0200C9"/>
          <w:sz w:val="24"/>
          <w:szCs w:val="24"/>
        </w:rPr>
      </w:pPr>
      <w:r>
        <w:rPr>
          <w:color w:val="0200C9"/>
          <w:sz w:val="24"/>
          <w:szCs w:val="24"/>
        </w:rPr>
        <w:t xml:space="preserve">Rudolph M (1990) Umbel rot of onion (Allium cepa L.). Nachrichtenblatt Pflanzenschutz 44, pp.185-186;</w:t>
      </w:r>
    </w:p>
    <w:p>
      <w:pPr>
        <w:numPr>
          <w:ilvl w:val="0"/>
          <w:numId w:val="1"/>
        </w:numPr>
        <w:spacing w:before="0" w:after="0" w:line="240" w:lineRule="auto"/>
        <w:jc w:val="left"/>
        <w:rPr>
          <w:color w:val="0200C9"/>
          <w:sz w:val="24"/>
          <w:szCs w:val="24"/>
        </w:rPr>
      </w:pPr>
      <w:r>
        <w:rPr>
          <w:color w:val="0200C9"/>
          <w:sz w:val="24"/>
          <w:szCs w:val="24"/>
        </w:rPr>
        <w:t xml:space="preserve">Tahvonen R (1981) Storage fungi of onion and their control. Journal of the Scientific Agricultural Society of Finland 53, 27-41;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667183">
    <w:multiLevelType w:val="hybridMultilevel"/>
    <w:lvl w:ilvl="0" w:tplc="81034043">
      <w:start w:val="1"/>
      <w:numFmt w:val="decimal"/>
      <w:lvlText w:val="%1."/>
      <w:lvlJc w:val="left"/>
      <w:pPr>
        <w:ind w:left="720" w:hanging="360"/>
      </w:pPr>
    </w:lvl>
    <w:lvl w:ilvl="1" w:tplc="81034043" w:tentative="1">
      <w:start w:val="1"/>
      <w:numFmt w:val="lowerLetter"/>
      <w:lvlText w:val="%2."/>
      <w:lvlJc w:val="left"/>
      <w:pPr>
        <w:ind w:left="1440" w:hanging="360"/>
      </w:pPr>
    </w:lvl>
    <w:lvl w:ilvl="2" w:tplc="81034043" w:tentative="1">
      <w:start w:val="1"/>
      <w:numFmt w:val="lowerRoman"/>
      <w:lvlText w:val="%3."/>
      <w:lvlJc w:val="right"/>
      <w:pPr>
        <w:ind w:left="2160" w:hanging="180"/>
      </w:pPr>
    </w:lvl>
    <w:lvl w:ilvl="3" w:tplc="81034043" w:tentative="1">
      <w:start w:val="1"/>
      <w:numFmt w:val="decimal"/>
      <w:lvlText w:val="%4."/>
      <w:lvlJc w:val="left"/>
      <w:pPr>
        <w:ind w:left="2880" w:hanging="360"/>
      </w:pPr>
    </w:lvl>
    <w:lvl w:ilvl="4" w:tplc="81034043" w:tentative="1">
      <w:start w:val="1"/>
      <w:numFmt w:val="lowerLetter"/>
      <w:lvlText w:val="%5."/>
      <w:lvlJc w:val="left"/>
      <w:pPr>
        <w:ind w:left="3600" w:hanging="360"/>
      </w:pPr>
    </w:lvl>
    <w:lvl w:ilvl="5" w:tplc="81034043" w:tentative="1">
      <w:start w:val="1"/>
      <w:numFmt w:val="lowerRoman"/>
      <w:lvlText w:val="%6."/>
      <w:lvlJc w:val="right"/>
      <w:pPr>
        <w:ind w:left="4320" w:hanging="180"/>
      </w:pPr>
    </w:lvl>
    <w:lvl w:ilvl="6" w:tplc="81034043" w:tentative="1">
      <w:start w:val="1"/>
      <w:numFmt w:val="decimal"/>
      <w:lvlText w:val="%7."/>
      <w:lvlJc w:val="left"/>
      <w:pPr>
        <w:ind w:left="5040" w:hanging="360"/>
      </w:pPr>
    </w:lvl>
    <w:lvl w:ilvl="7" w:tplc="81034043" w:tentative="1">
      <w:start w:val="1"/>
      <w:numFmt w:val="lowerLetter"/>
      <w:lvlText w:val="%8."/>
      <w:lvlJc w:val="left"/>
      <w:pPr>
        <w:ind w:left="5760" w:hanging="360"/>
      </w:pPr>
    </w:lvl>
    <w:lvl w:ilvl="8" w:tplc="81034043" w:tentative="1">
      <w:start w:val="1"/>
      <w:numFmt w:val="lowerRoman"/>
      <w:lvlText w:val="%9."/>
      <w:lvlJc w:val="right"/>
      <w:pPr>
        <w:ind w:left="6480" w:hanging="180"/>
      </w:pPr>
    </w:lvl>
  </w:abstractNum>
  <w:abstractNum w:abstractNumId="93667182">
    <w:multiLevelType w:val="hybridMultilevel"/>
    <w:lvl w:ilvl="0" w:tplc="744159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667182">
    <w:abstractNumId w:val="93667182"/>
  </w:num>
  <w:num w:numId="93667183">
    <w:abstractNumId w:val="936671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599621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