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solani (Phytoplasma solani) PHYPSO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026a04dbdb0da9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presence of the pathogen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taken against flavescence doree phytoplasma, in areas where it occurs, would be effective in managing risks from stolbur.</w:t>
      </w:r>
      <w:r>
        <w:rPr>
          <w:color w:val="0200C9"/>
          <w:sz w:val="24"/>
          <w:szCs w:val="24"/>
        </w:rPr>
        <w:br/>
        <w:t xml:space="preserve">- Non-certified plants (‘standard’):</w:t>
      </w:r>
      <w:r>
        <w:rPr>
          <w:color w:val="0200C9"/>
          <w:sz w:val="24"/>
          <w:szCs w:val="24"/>
        </w:rPr>
        <w:br/>
        <w:t xml:space="preserve">(a) Plants produced in areas known to be free from Candidatus Phytoplasma solani;</w:t>
      </w:r>
      <w:r>
        <w:rPr>
          <w:color w:val="0200C9"/>
          <w:sz w:val="24"/>
          <w:szCs w:val="24"/>
        </w:rPr>
        <w:br/>
        <w:t xml:space="preserve">or</w:t>
      </w:r>
      <w:r>
        <w:rPr>
          <w:color w:val="0200C9"/>
          <w:sz w:val="24"/>
          <w:szCs w:val="24"/>
        </w:rPr>
        <w:br/>
        <w:t xml:space="preserve">(b) No symptoms seen during visual inspections of the site of production in the last complete cycle of vegetation;</w:t>
      </w:r>
      <w:r>
        <w:rPr>
          <w:color w:val="0200C9"/>
          <w:sz w:val="24"/>
          <w:szCs w:val="24"/>
        </w:rPr>
        <w:br/>
        <w:t xml:space="preserve">or</w:t>
      </w:r>
      <w:r>
        <w:rPr>
          <w:color w:val="0200C9"/>
          <w:sz w:val="24"/>
          <w:szCs w:val="24"/>
        </w:rPr>
        <w:br/>
        <w:t xml:space="preserve">(c) All plants at the site of production showing symptoms have been rogued out and destroyed</w:t>
      </w:r>
      <w:r>
        <w:rPr>
          <w:color w:val="0200C9"/>
          <w:sz w:val="24"/>
          <w:szCs w:val="24"/>
        </w:rPr>
        <w:br/>
        <w:t xml:space="preserve">or</w:t>
      </w:r>
      <w:r>
        <w:rPr>
          <w:color w:val="0200C9"/>
          <w:sz w:val="24"/>
          <w:szCs w:val="24"/>
        </w:rPr>
        <w:br/>
        <w:t xml:space="preserve">(d) Plants have been subject to hot water treatment according to EPPO PM 10/18 Standard.</w:t>
      </w:r>
      <w:r>
        <w:rPr>
          <w:color w:val="0200C9"/>
          <w:sz w:val="24"/>
          <w:szCs w:val="24"/>
        </w:rPr>
        <w:br/>
        <w:br/>
        <w:t xml:space="preserve">- For pre-basic (‘initial’), basic and certified:</w:t>
      </w:r>
      <w:r>
        <w:rPr>
          <w:color w:val="0200C9"/>
          <w:sz w:val="24"/>
          <w:szCs w:val="24"/>
        </w:rPr>
        <w:br/>
        <w:t xml:space="preserve">Additional measures could include periodic testing of mother plants to detect latent infection, testing of material to detect latent infection (in particular for rootstocks which do not show symptoms) and cultural measures against other vector host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Rootstocks are asymptomatic. Symptoms cannot be differentiated with the flavescence doree phytoplasma. This phytoplasma has a latent period. However experts from the coreHEWGplus commented that we can not rely on the testing of all remaining plants of an infested lot. The options proposed would also cover mother plants.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91616a04dbdb0dea6"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965557">
    <w:multiLevelType w:val="hybridMultilevel"/>
    <w:lvl w:ilvl="0" w:tplc="45311206">
      <w:start w:val="1"/>
      <w:numFmt w:val="decimal"/>
      <w:lvlText w:val="%1."/>
      <w:lvlJc w:val="left"/>
      <w:pPr>
        <w:ind w:left="720" w:hanging="360"/>
      </w:pPr>
    </w:lvl>
    <w:lvl w:ilvl="1" w:tplc="45311206" w:tentative="1">
      <w:start w:val="1"/>
      <w:numFmt w:val="lowerLetter"/>
      <w:lvlText w:val="%2."/>
      <w:lvlJc w:val="left"/>
      <w:pPr>
        <w:ind w:left="1440" w:hanging="360"/>
      </w:pPr>
    </w:lvl>
    <w:lvl w:ilvl="2" w:tplc="45311206" w:tentative="1">
      <w:start w:val="1"/>
      <w:numFmt w:val="lowerRoman"/>
      <w:lvlText w:val="%3."/>
      <w:lvlJc w:val="right"/>
      <w:pPr>
        <w:ind w:left="2160" w:hanging="180"/>
      </w:pPr>
    </w:lvl>
    <w:lvl w:ilvl="3" w:tplc="45311206" w:tentative="1">
      <w:start w:val="1"/>
      <w:numFmt w:val="decimal"/>
      <w:lvlText w:val="%4."/>
      <w:lvlJc w:val="left"/>
      <w:pPr>
        <w:ind w:left="2880" w:hanging="360"/>
      </w:pPr>
    </w:lvl>
    <w:lvl w:ilvl="4" w:tplc="45311206" w:tentative="1">
      <w:start w:val="1"/>
      <w:numFmt w:val="lowerLetter"/>
      <w:lvlText w:val="%5."/>
      <w:lvlJc w:val="left"/>
      <w:pPr>
        <w:ind w:left="3600" w:hanging="360"/>
      </w:pPr>
    </w:lvl>
    <w:lvl w:ilvl="5" w:tplc="45311206" w:tentative="1">
      <w:start w:val="1"/>
      <w:numFmt w:val="lowerRoman"/>
      <w:lvlText w:val="%6."/>
      <w:lvlJc w:val="right"/>
      <w:pPr>
        <w:ind w:left="4320" w:hanging="180"/>
      </w:pPr>
    </w:lvl>
    <w:lvl w:ilvl="6" w:tplc="45311206" w:tentative="1">
      <w:start w:val="1"/>
      <w:numFmt w:val="decimal"/>
      <w:lvlText w:val="%7."/>
      <w:lvlJc w:val="left"/>
      <w:pPr>
        <w:ind w:left="5040" w:hanging="360"/>
      </w:pPr>
    </w:lvl>
    <w:lvl w:ilvl="7" w:tplc="45311206" w:tentative="1">
      <w:start w:val="1"/>
      <w:numFmt w:val="lowerLetter"/>
      <w:lvlText w:val="%8."/>
      <w:lvlJc w:val="left"/>
      <w:pPr>
        <w:ind w:left="5760" w:hanging="360"/>
      </w:pPr>
    </w:lvl>
    <w:lvl w:ilvl="8" w:tplc="45311206" w:tentative="1">
      <w:start w:val="1"/>
      <w:numFmt w:val="lowerRoman"/>
      <w:lvlText w:val="%9."/>
      <w:lvlJc w:val="right"/>
      <w:pPr>
        <w:ind w:left="6480" w:hanging="180"/>
      </w:pPr>
    </w:lvl>
  </w:abstractNum>
  <w:abstractNum w:abstractNumId="76965556">
    <w:multiLevelType w:val="hybridMultilevel"/>
    <w:lvl w:ilvl="0" w:tplc="16563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965556">
    <w:abstractNumId w:val="76965556"/>
  </w:num>
  <w:num w:numId="76965557">
    <w:abstractNumId w:val="769655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7896122" Type="http://schemas.microsoft.com/office/2011/relationships/commentsExtended" Target="commentsExtended.xml"/><Relationship Id="rId96026a04dbdb0da97" Type="http://schemas.openxmlformats.org/officeDocument/2006/relationships/hyperlink" Target="https://gd.eppo.int/" TargetMode="External"/><Relationship Id="rId91616a04dbdb0dea6"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