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8125662870807915c"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frequent,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Cannabis sativa (CNISA)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Botrytis spp. is listed in EU Marketing Directive 2002/57 with a threshold, however no references to other species of Botrytis were found affecting Cannabis sativa.</w:t>
      </w:r>
      <w:r>
        <w:rPr>
          <w:color w:val="0200C9"/>
          <w:sz w:val="24"/>
          <w:szCs w:val="24"/>
        </w:rPr>
        <w:br/>
        <w:t xml:space="preserve">Botrytis cinerea (grey mould) is a worldwide, ubiquitous fungus with a wide host range of herbaceous annual and perennial plants causing a primary and secondary rot, especially after damage or conditions of high humidity. Sclerotia and conidia are formed on fallen fruit and plant debris from which wind-borne ascospores and condia are released into the air to infected new plant material of many species. Botrytis cinerea was not specifically listed as being found on hemp seed during a survey of genebank seed in Romania, though report unclear (Plăcintă &amp; Murariu, 2016). The SEWG concluded that there was uncertainties concerning the significance of the seed pathway leading to an impact on the germination and on the crop establishment compared to pest free seed, or seed which has been treated against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It is listed as a serious disease of hemp in NZ (McPartland, 1996) where Botrytis cinerea, togther with two other fungi, rot flowering tops and stalks of hemp (Cannabis sativa) (McPartland &amp; Rhode 2005). During 1995-96, diseases of hemp were surveyed in Germany and Botrytis cinerea a causal agent of stem rot, occurred on some individual plants though optimal crop density and minimal N-fertilization contained the disease. Fungicidal seed dressings are recommended for the control of emerging seed-borne or soil-borne fungi (e.g. Fusarium spp. and Botrytis spp.). It was suggested that it is not necessary to apply specific plant protection products against weeds, diseases or pests of hemp, although general seed dressings are recommended (Patschke et al., 1997). Most of 11 vars. tested in Poland were severely infected though spraying reduced infection, and increased fibre yield (Krzysztalowska H. 1973).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Evidence of economic impacts is not as strong as for sunflower and flax. It is not a candidate for the RNQP status on the basis of the evidence available to the SEWG.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Evidence of economic impacts is not as strong as for sunflower and flax. Not a candidate on the basis of the evidence available to the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Krzysztalowska H (1973) Contribution to the study on the occurrence of Botrytis cinerea (Pers./Lev.) on hemp and the possibilities of its control. Pr. Inst. Krajow. Wlok. Natur. 20, 113-124;</w:t>
      </w:r>
    </w:p>
    <w:p>
      <w:pPr>
        <w:numPr>
          <w:ilvl w:val="0"/>
          <w:numId w:val="1"/>
        </w:numPr>
        <w:spacing w:before="0" w:after="0" w:line="240" w:lineRule="auto"/>
        <w:jc w:val="left"/>
        <w:rPr>
          <w:color w:val="0200C9"/>
          <w:sz w:val="24"/>
          <w:szCs w:val="24"/>
        </w:rPr>
      </w:pPr>
      <w:r>
        <w:rPr>
          <w:color w:val="0200C9"/>
          <w:sz w:val="24"/>
          <w:szCs w:val="24"/>
        </w:rPr>
        <w:t xml:space="preserve">McPartland JM (1996) A review of Cannabis diseases. Journal of the International Hemp Association 3, 19-23;</w:t>
      </w:r>
    </w:p>
    <w:p>
      <w:pPr>
        <w:numPr>
          <w:ilvl w:val="0"/>
          <w:numId w:val="1"/>
        </w:numPr>
        <w:spacing w:before="0" w:after="0" w:line="240" w:lineRule="auto"/>
        <w:jc w:val="left"/>
        <w:rPr>
          <w:color w:val="0200C9"/>
          <w:sz w:val="24"/>
          <w:szCs w:val="24"/>
        </w:rPr>
      </w:pPr>
      <w:r>
        <w:rPr>
          <w:color w:val="0200C9"/>
          <w:sz w:val="24"/>
          <w:szCs w:val="24"/>
        </w:rPr>
        <w:t xml:space="preserve">McPartland JM &amp; Rhode B (2005) New hemp diseases and pests in New Zealand. Journal of Industrial Hemp 10,99-108;</w:t>
      </w:r>
    </w:p>
    <w:p>
      <w:pPr>
        <w:numPr>
          <w:ilvl w:val="0"/>
          <w:numId w:val="1"/>
        </w:numPr>
        <w:spacing w:before="0" w:after="0" w:line="240" w:lineRule="auto"/>
        <w:jc w:val="left"/>
        <w:rPr>
          <w:color w:val="0200C9"/>
          <w:sz w:val="24"/>
          <w:szCs w:val="24"/>
        </w:rPr>
      </w:pPr>
      <w:r>
        <w:rPr>
          <w:color w:val="0200C9"/>
          <w:sz w:val="24"/>
          <w:szCs w:val="24"/>
        </w:rPr>
        <w:t xml:space="preserve">Patschke K, Gottwald R &amp; Müller R (1997) First results of phytopathological studies in hemp crops in Brandenburg Land. Nachrichtenblatt des Deutschen Pflanzenschutzdienstes 49, 286-290;</w:t>
      </w:r>
    </w:p>
    <w:p>
      <w:pPr>
        <w:numPr>
          <w:ilvl w:val="0"/>
          <w:numId w:val="1"/>
        </w:numPr>
        <w:spacing w:before="0" w:after="0" w:line="240" w:lineRule="auto"/>
        <w:jc w:val="left"/>
        <w:rPr>
          <w:color w:val="0200C9"/>
          <w:sz w:val="24"/>
          <w:szCs w:val="24"/>
        </w:rPr>
      </w:pPr>
      <w:r>
        <w:rPr>
          <w:color w:val="0200C9"/>
          <w:sz w:val="24"/>
          <w:szCs w:val="24"/>
        </w:rPr>
        <w:t xml:space="preserve">Plăcintă DD &amp; Murariu D (2016) Fungus evaluation from seeds germplasm before medium and long term storage. Cercetări Agronomice în Moldova 49,71-82;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52941">
    <w:multiLevelType w:val="hybridMultilevel"/>
    <w:lvl w:ilvl="0" w:tplc="62654353">
      <w:start w:val="1"/>
      <w:numFmt w:val="decimal"/>
      <w:lvlText w:val="%1."/>
      <w:lvlJc w:val="left"/>
      <w:pPr>
        <w:ind w:left="720" w:hanging="360"/>
      </w:pPr>
    </w:lvl>
    <w:lvl w:ilvl="1" w:tplc="62654353" w:tentative="1">
      <w:start w:val="1"/>
      <w:numFmt w:val="lowerLetter"/>
      <w:lvlText w:val="%2."/>
      <w:lvlJc w:val="left"/>
      <w:pPr>
        <w:ind w:left="1440" w:hanging="360"/>
      </w:pPr>
    </w:lvl>
    <w:lvl w:ilvl="2" w:tplc="62654353" w:tentative="1">
      <w:start w:val="1"/>
      <w:numFmt w:val="lowerRoman"/>
      <w:lvlText w:val="%3."/>
      <w:lvlJc w:val="right"/>
      <w:pPr>
        <w:ind w:left="2160" w:hanging="180"/>
      </w:pPr>
    </w:lvl>
    <w:lvl w:ilvl="3" w:tplc="62654353" w:tentative="1">
      <w:start w:val="1"/>
      <w:numFmt w:val="decimal"/>
      <w:lvlText w:val="%4."/>
      <w:lvlJc w:val="left"/>
      <w:pPr>
        <w:ind w:left="2880" w:hanging="360"/>
      </w:pPr>
    </w:lvl>
    <w:lvl w:ilvl="4" w:tplc="62654353" w:tentative="1">
      <w:start w:val="1"/>
      <w:numFmt w:val="lowerLetter"/>
      <w:lvlText w:val="%5."/>
      <w:lvlJc w:val="left"/>
      <w:pPr>
        <w:ind w:left="3600" w:hanging="360"/>
      </w:pPr>
    </w:lvl>
    <w:lvl w:ilvl="5" w:tplc="62654353" w:tentative="1">
      <w:start w:val="1"/>
      <w:numFmt w:val="lowerRoman"/>
      <w:lvlText w:val="%6."/>
      <w:lvlJc w:val="right"/>
      <w:pPr>
        <w:ind w:left="4320" w:hanging="180"/>
      </w:pPr>
    </w:lvl>
    <w:lvl w:ilvl="6" w:tplc="62654353" w:tentative="1">
      <w:start w:val="1"/>
      <w:numFmt w:val="decimal"/>
      <w:lvlText w:val="%7."/>
      <w:lvlJc w:val="left"/>
      <w:pPr>
        <w:ind w:left="5040" w:hanging="360"/>
      </w:pPr>
    </w:lvl>
    <w:lvl w:ilvl="7" w:tplc="62654353" w:tentative="1">
      <w:start w:val="1"/>
      <w:numFmt w:val="lowerLetter"/>
      <w:lvlText w:val="%8."/>
      <w:lvlJc w:val="left"/>
      <w:pPr>
        <w:ind w:left="5760" w:hanging="360"/>
      </w:pPr>
    </w:lvl>
    <w:lvl w:ilvl="8" w:tplc="62654353" w:tentative="1">
      <w:start w:val="1"/>
      <w:numFmt w:val="lowerRoman"/>
      <w:lvlText w:val="%9."/>
      <w:lvlJc w:val="right"/>
      <w:pPr>
        <w:ind w:left="6480" w:hanging="180"/>
      </w:pPr>
    </w:lvl>
  </w:abstractNum>
  <w:abstractNum w:abstractNumId="63752940">
    <w:multiLevelType w:val="hybridMultilevel"/>
    <w:lvl w:ilvl="0" w:tplc="688293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52940">
    <w:abstractNumId w:val="63752940"/>
  </w:num>
  <w:num w:numId="63752941">
    <w:abstractNumId w:val="637529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5520041" Type="http://schemas.microsoft.com/office/2011/relationships/commentsExtended" Target="commentsExtended.xml"/><Relationship Id="rId8125662870807915c" Type="http://schemas.openxmlformats.org/officeDocument/2006/relationships/hyperlink" Target="http://www.fungaltaxonomy.org/index.php/download_file/view/132/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